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eastAsia="仿宋_GB2312"/>
          <w:b/>
          <w:sz w:val="36"/>
          <w:szCs w:val="36"/>
        </w:rPr>
      </w:pPr>
      <w:r>
        <w:rPr>
          <w:lang w:val="zh-CN"/>
        </w:rPr>
        <w:pict>
          <v:shape id="AutoShape 6" o:spid="_x0000_s1026" o:spt="136" type="#_x0000_t136" style="position:absolute;left:0pt;margin-left:42.7pt;margin-top:-12.05pt;height:45.65pt;width:394.45pt;z-index:-251656192;mso-width-relative:page;mso-height-relative:page;" fillcolor="#FF0000" filled="t" stroked="t" coordsize="21600,21600">
            <v:path/>
            <v:fill on="t" focussize="0,0"/>
            <v:stroke color="#FF0000"/>
            <v:imagedata o:title=""/>
            <o:lock v:ext="edit"/>
            <v:textpath on="t" fitpath="t" trim="t" xscale="f" string="中国化工企业管理协会医药化工专业委员会" style="font-family:宋体;font-size:36pt;v-text-align:center;"/>
          </v:shape>
        </w:pict>
      </w:r>
    </w:p>
    <w:p>
      <w:pPr>
        <w:spacing w:line="400" w:lineRule="exact"/>
        <w:rPr>
          <w:rFonts w:ascii="仿宋_GB2312" w:eastAsia="仿宋_GB2312"/>
          <w:b/>
          <w:sz w:val="36"/>
          <w:szCs w:val="36"/>
        </w:rPr>
      </w:pPr>
    </w:p>
    <w:p>
      <w:pPr>
        <w:spacing w:line="400" w:lineRule="exact"/>
        <w:rPr>
          <w:rFonts w:ascii="仿宋_GB2312" w:eastAsia="仿宋_GB2312"/>
          <w:b/>
          <w:sz w:val="36"/>
          <w:szCs w:val="36"/>
        </w:rPr>
      </w:pPr>
      <w:r>
        <w:pict>
          <v:shape id="AutoShape 2" o:spid="_x0000_s1028" o:spt="136" type="#_x0000_t136" style="position:absolute;left:0pt;margin-left:41.35pt;margin-top:0.4pt;height:44.1pt;width:395.8pt;z-index:251662336;mso-width-relative:page;mso-height-relative:page;" fillcolor="#FF0000" filled="t" stroked="t" coordsize="21600,21600">
            <v:path/>
            <v:fill on="t" focussize="0,0"/>
            <v:stroke color="#FF0000"/>
            <v:imagedata o:title=""/>
            <o:lock v:ext="edit"/>
            <v:textpath on="t" fitpath="t" trim="t" xscale="f" string="全国医药技术市场协会" style="font-family:宋体;font-size:40pt;v-text-align:center;"/>
          </v:shape>
        </w:pict>
      </w:r>
    </w:p>
    <w:p>
      <w:pPr>
        <w:rPr>
          <w:rFonts w:ascii="仿宋_GB2312" w:eastAsia="仿宋_GB2312"/>
          <w:color w:val="000000"/>
          <w:w w:val="90"/>
          <w:sz w:val="32"/>
        </w:rPr>
      </w:pPr>
    </w:p>
    <w:p>
      <w:pPr>
        <w:rPr>
          <w:rFonts w:ascii="仿宋_GB2312" w:eastAsia="仿宋_GB2312"/>
          <w:color w:val="000000"/>
          <w:w w:val="90"/>
          <w:sz w:val="32"/>
        </w:rPr>
      </w:pPr>
      <w:r>
        <w:pict>
          <v:line id="Line 3" o:spid="_x0000_s1027" o:spt="20" style="position:absolute;left:0pt;margin-left:-0.75pt;margin-top:28.3pt;height:0.05pt;width:477pt;z-index:251661312;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 xml:space="preserve">                    中化药专字[2016]051号</w:t>
      </w:r>
      <w:r>
        <w:rPr>
          <w:rFonts w:hint="eastAsia" w:ascii="宋体" w:hAnsi="宋体"/>
          <w:sz w:val="36"/>
          <w:szCs w:val="36"/>
        </w:rPr>
        <w:t xml:space="preserve">                                                     </w:t>
      </w:r>
    </w:p>
    <w:p>
      <w:pPr>
        <w:spacing w:line="520" w:lineRule="exact"/>
        <w:rPr>
          <w:rFonts w:ascii="宋体" w:hAnsi="宋体"/>
          <w:b/>
          <w:bCs/>
          <w:sz w:val="36"/>
          <w:szCs w:val="36"/>
        </w:rPr>
      </w:pPr>
      <w:r>
        <w:rPr>
          <w:rFonts w:hint="eastAsia" w:ascii="宋体" w:hAnsi="宋体"/>
          <w:b/>
          <w:bCs/>
          <w:sz w:val="36"/>
          <w:szCs w:val="36"/>
        </w:rPr>
        <w:t xml:space="preserve">   关于举办“数据可靠性管控策略与有效预防实用措施</w:t>
      </w:r>
    </w:p>
    <w:p>
      <w:pPr>
        <w:spacing w:line="520" w:lineRule="exact"/>
        <w:rPr>
          <w:rFonts w:ascii="宋体" w:hAnsi="宋体"/>
          <w:b/>
          <w:bCs/>
          <w:sz w:val="36"/>
          <w:szCs w:val="36"/>
        </w:rPr>
      </w:pPr>
      <w:r>
        <w:rPr>
          <w:rFonts w:hint="eastAsia" w:ascii="宋体" w:hAnsi="宋体"/>
          <w:b/>
          <w:bCs/>
          <w:sz w:val="36"/>
          <w:szCs w:val="36"/>
        </w:rPr>
        <w:t xml:space="preserve">                 高级培训班”的通知</w:t>
      </w:r>
    </w:p>
    <w:p>
      <w:pPr>
        <w:spacing w:beforeLines="80" w:line="420" w:lineRule="exact"/>
        <w:rPr>
          <w:rFonts w:asciiTheme="minorEastAsia" w:hAnsiTheme="minorEastAsia" w:eastAsiaTheme="minorEastAsia"/>
          <w:bCs/>
          <w:color w:val="000000"/>
          <w:sz w:val="24"/>
        </w:rPr>
      </w:pPr>
      <w:r>
        <w:rPr>
          <w:rFonts w:hint="eastAsia" w:asciiTheme="minorEastAsia" w:hAnsiTheme="minorEastAsia" w:eastAsiaTheme="minorEastAsia"/>
          <w:b/>
          <w:color w:val="000000"/>
          <w:sz w:val="24"/>
        </w:rPr>
        <w:t>各有关单位：</w:t>
      </w:r>
    </w:p>
    <w:p>
      <w:pPr>
        <w:spacing w:beforeLines="80" w:line="420" w:lineRule="exact"/>
        <w:ind w:firstLine="555"/>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数据可靠性目前已经成为全球药品监管机构与制药行业所关注的重点。制药企业如何从顶层设计的高度去管控数据可靠性问题，采用什么样的管控策略和有效措施（包括技术措施与管理措施）去预防数据可靠性问题的发生，是摆在全球制药行业管理层面前急需解决的重大问题。过去曾有北大、CFDA等机构等多次举办过数据可靠性的培训，但其培训内容都是讲数据可靠性的法规要求、重要性和存在的各类缺陷及分析。制药行业如何从操作层面去预防与治理数据可靠性的问题几乎没有人讲过。为此我们聘请知名制药企业高管专门开发设计了本次课程培训，该课程理论联系实际，从企业管理的角度与全球GMP管控的角度去认知、管控数据可靠性问题。告诉你如何有效、务实的根据风险和资源配置去进行顶层设计和有效管控。</w:t>
      </w:r>
    </w:p>
    <w:p>
      <w:pPr>
        <w:spacing w:beforeLines="80" w:line="420" w:lineRule="exact"/>
        <w:ind w:firstLine="555"/>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本培训内容即有高度又有深度，即专业又实用，即新颖又具有可操作性，即考虑法规符合性又考虑企业实际运行；如果你足够专业你就会从培训内容的安排（即附件1课程安排表）中得出这样的结论——这是一次国内难得的培训机会，也是国内首次从具体实施与操作层面进行的数据可靠性培训。可以这样说“国内所有的药企都存在一定的数据完整问题”。数据可靠性的治理需要较长的时间，过去或治理前已产生的有问题数据会让你之后“买单”（GMP证书丢失）。抓住有实际操作指导意义的培训机会是你们的明智选择。为此，我单位定于2016年11月、12月分别在济南市、长沙市举办第四期、第五期“数据可靠性管控策略与有效预防实用措施“高级培训班。</w:t>
      </w:r>
      <w:r>
        <w:rPr>
          <w:rFonts w:hint="eastAsia" w:asciiTheme="minorEastAsia" w:hAnsiTheme="minorEastAsia" w:eastAsiaTheme="minorEastAsia"/>
          <w:b/>
          <w:color w:val="000000"/>
          <w:sz w:val="24"/>
        </w:rPr>
        <w:t>通过前几期的培训，学员反映强烈，认为区别于以往相关专题培训，无论是从理解认识的理念，还是管控的策略方法措施，都通过具体实际案例详尽细致的予以讲解，激发了学员互动交流的热情，收到了良好的效果，达到了预期的学习目标。</w:t>
      </w:r>
      <w:r>
        <w:rPr>
          <w:rFonts w:hint="eastAsia" w:asciiTheme="minorEastAsia" w:hAnsiTheme="minorEastAsia" w:eastAsiaTheme="minorEastAsia"/>
          <w:bCs/>
          <w:color w:val="000000"/>
          <w:sz w:val="24"/>
        </w:rPr>
        <w:t>现将有关事项通知如下：</w:t>
      </w:r>
    </w:p>
    <w:p>
      <w:pPr>
        <w:spacing w:beforeLines="80" w:line="420" w:lineRule="exact"/>
        <w:ind w:firstLine="555"/>
        <w:rPr>
          <w:rFonts w:asciiTheme="minorEastAsia" w:hAnsiTheme="minorEastAsia" w:eastAsiaTheme="minorEastAsia"/>
          <w:b/>
          <w:color w:val="000000"/>
          <w:sz w:val="24"/>
        </w:rPr>
      </w:pPr>
      <w:bookmarkStart w:id="0" w:name="_GoBack"/>
      <w:r>
        <w:rPr>
          <w:rFonts w:hint="eastAsia" w:asciiTheme="minorEastAsia" w:hAnsiTheme="minorEastAsia" w:eastAsiaTheme="minorEastAsia"/>
          <w:b/>
          <w:color w:val="000000"/>
          <w:sz w:val="24"/>
        </w:rPr>
        <w:t>支持单位：安捷伦科技（中国）有限公司       赛默飞世尔科技(中国)有限公司</w:t>
      </w:r>
    </w:p>
    <w:bookmarkEnd w:id="0"/>
    <w:p>
      <w:pPr>
        <w:spacing w:beforeLines="80" w:line="420" w:lineRule="exact"/>
        <w:ind w:firstLine="555"/>
        <w:rPr>
          <w:rFonts w:asciiTheme="minorEastAsia" w:hAnsiTheme="minorEastAsia" w:eastAsiaTheme="minorEastAsia"/>
          <w:b/>
          <w:color w:val="000000"/>
          <w:sz w:val="24"/>
        </w:rPr>
      </w:pPr>
    </w:p>
    <w:p>
      <w:pPr>
        <w:numPr>
          <w:ilvl w:val="0"/>
          <w:numId w:val="1"/>
        </w:numPr>
        <w:spacing w:line="420" w:lineRule="exact"/>
        <w:ind w:firstLine="482" w:firstLineChars="200"/>
        <w:rPr>
          <w:rFonts w:asciiTheme="minorEastAsia" w:hAnsiTheme="minorEastAsia" w:eastAsiaTheme="minorEastAsia"/>
          <w:b/>
          <w:bCs/>
          <w:sz w:val="24"/>
        </w:rPr>
      </w:pPr>
      <w:r>
        <w:rPr>
          <w:rFonts w:hint="eastAsia" w:cs="黑体" w:asciiTheme="minorEastAsia" w:hAnsiTheme="minorEastAsia" w:eastAsiaTheme="minorEastAsia"/>
          <w:b/>
          <w:sz w:val="24"/>
        </w:rPr>
        <w:t>会议安排</w:t>
      </w:r>
      <w:r>
        <w:rPr>
          <w:rFonts w:hint="eastAsia" w:asciiTheme="minorEastAsia" w:hAnsiTheme="minorEastAsia" w:eastAsiaTheme="minorEastAsia"/>
          <w:b/>
          <w:bCs/>
          <w:sz w:val="24"/>
        </w:rPr>
        <w:t xml:space="preserve"> </w:t>
      </w:r>
    </w:p>
    <w:p>
      <w:pPr>
        <w:pStyle w:val="2"/>
        <w:spacing w:line="440" w:lineRule="exact"/>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r>
        <w:rPr>
          <w:rFonts w:asciiTheme="minorEastAsia" w:hAnsiTheme="minorEastAsia" w:eastAsiaTheme="minorEastAsia"/>
          <w:b w:val="0"/>
          <w:bCs/>
          <w:sz w:val="24"/>
          <w:szCs w:val="24"/>
        </w:rPr>
        <w:t>会议时间：2016年</w:t>
      </w:r>
      <w:r>
        <w:rPr>
          <w:rFonts w:hint="eastAsia" w:asciiTheme="minorEastAsia" w:hAnsiTheme="minorEastAsia" w:eastAsiaTheme="minorEastAsia"/>
          <w:b w:val="0"/>
          <w:bCs/>
          <w:sz w:val="24"/>
          <w:szCs w:val="24"/>
        </w:rPr>
        <w:t>11</w:t>
      </w:r>
      <w:r>
        <w:rPr>
          <w:rFonts w:asciiTheme="minorEastAsia" w:hAnsiTheme="minorEastAsia" w:eastAsiaTheme="minorEastAsia"/>
          <w:b w:val="0"/>
          <w:bCs/>
          <w:sz w:val="24"/>
          <w:szCs w:val="24"/>
        </w:rPr>
        <w:t>月</w:t>
      </w:r>
      <w:r>
        <w:rPr>
          <w:rFonts w:hint="eastAsia" w:asciiTheme="minorEastAsia" w:hAnsiTheme="minorEastAsia" w:eastAsiaTheme="minorEastAsia"/>
          <w:b w:val="0"/>
          <w:bCs/>
          <w:sz w:val="24"/>
          <w:szCs w:val="24"/>
        </w:rPr>
        <w:t>25</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27</w:t>
      </w:r>
      <w:r>
        <w:rPr>
          <w:rFonts w:asciiTheme="minorEastAsia" w:hAnsiTheme="minorEastAsia" w:eastAsiaTheme="minorEastAsia"/>
          <w:b w:val="0"/>
          <w:bCs/>
          <w:sz w:val="24"/>
          <w:szCs w:val="24"/>
        </w:rPr>
        <w:t xml:space="preserve">日 </w:t>
      </w:r>
      <w:r>
        <w:rPr>
          <w:rFonts w:hint="eastAsia" w:asciiTheme="minorEastAsia" w:hAnsiTheme="minorEastAsia" w:eastAsiaTheme="minorEastAsia"/>
          <w:b w:val="0"/>
          <w:bCs/>
          <w:sz w:val="24"/>
          <w:szCs w:val="24"/>
        </w:rPr>
        <w:t xml:space="preserve">  </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25</w:t>
      </w:r>
      <w:r>
        <w:rPr>
          <w:rFonts w:asciiTheme="minorEastAsia" w:hAnsiTheme="minorEastAsia" w:eastAsiaTheme="minorEastAsia"/>
          <w:b w:val="0"/>
          <w:bCs/>
          <w:sz w:val="24"/>
          <w:szCs w:val="24"/>
        </w:rPr>
        <w:t>日全天报到)</w:t>
      </w:r>
    </w:p>
    <w:p>
      <w:pPr>
        <w:pStyle w:val="2"/>
        <w:spacing w:line="440" w:lineRule="exact"/>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  </w:t>
      </w:r>
      <w:r>
        <w:rPr>
          <w:rFonts w:asciiTheme="minorEastAsia" w:hAnsiTheme="minorEastAsia" w:eastAsiaTheme="minorEastAsia"/>
          <w:b w:val="0"/>
          <w:bCs/>
          <w:sz w:val="24"/>
          <w:szCs w:val="24"/>
        </w:rPr>
        <w:t>报到地点：</w:t>
      </w:r>
      <w:r>
        <w:rPr>
          <w:rFonts w:hint="eastAsia" w:asciiTheme="minorEastAsia" w:hAnsiTheme="minorEastAsia" w:eastAsiaTheme="minorEastAsia"/>
          <w:b w:val="0"/>
          <w:bCs/>
          <w:sz w:val="24"/>
          <w:szCs w:val="24"/>
        </w:rPr>
        <w:t>济南</w:t>
      </w:r>
      <w:r>
        <w:rPr>
          <w:rFonts w:asciiTheme="minorEastAsia" w:hAnsiTheme="minorEastAsia" w:eastAsiaTheme="minorEastAsia"/>
          <w:b w:val="0"/>
          <w:bCs/>
          <w:sz w:val="24"/>
          <w:szCs w:val="24"/>
        </w:rPr>
        <w:t>市  (具体地点直接发给报名人员)</w:t>
      </w:r>
    </w:p>
    <w:p>
      <w:pPr>
        <w:pStyle w:val="2"/>
        <w:spacing w:line="440" w:lineRule="exact"/>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w:t>
      </w:r>
      <w:r>
        <w:rPr>
          <w:rFonts w:asciiTheme="minorEastAsia" w:hAnsiTheme="minorEastAsia" w:eastAsiaTheme="minorEastAsia"/>
          <w:b w:val="0"/>
          <w:bCs/>
          <w:sz w:val="24"/>
          <w:szCs w:val="24"/>
        </w:rPr>
        <w:t>会议时间：2016年</w:t>
      </w:r>
      <w:r>
        <w:rPr>
          <w:rFonts w:hint="eastAsia" w:asciiTheme="minorEastAsia" w:hAnsiTheme="minorEastAsia" w:eastAsiaTheme="minorEastAsia"/>
          <w:b w:val="0"/>
          <w:bCs/>
          <w:sz w:val="24"/>
          <w:szCs w:val="24"/>
        </w:rPr>
        <w:t>12</w:t>
      </w:r>
      <w:r>
        <w:rPr>
          <w:rFonts w:asciiTheme="minorEastAsia" w:hAnsiTheme="minorEastAsia" w:eastAsiaTheme="minorEastAsia"/>
          <w:b w:val="0"/>
          <w:bCs/>
          <w:sz w:val="24"/>
          <w:szCs w:val="24"/>
        </w:rPr>
        <w:t>月</w:t>
      </w:r>
      <w:r>
        <w:rPr>
          <w:rFonts w:hint="eastAsia" w:asciiTheme="minorEastAsia" w:hAnsiTheme="minorEastAsia" w:eastAsiaTheme="minorEastAsia"/>
          <w:b w:val="0"/>
          <w:bCs/>
          <w:sz w:val="24"/>
          <w:szCs w:val="24"/>
        </w:rPr>
        <w:t>9</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11</w:t>
      </w:r>
      <w:r>
        <w:rPr>
          <w:rFonts w:asciiTheme="minorEastAsia" w:hAnsiTheme="minorEastAsia" w:eastAsiaTheme="minorEastAsia"/>
          <w:b w:val="0"/>
          <w:bCs/>
          <w:sz w:val="24"/>
          <w:szCs w:val="24"/>
        </w:rPr>
        <w:t xml:space="preserve">日 </w:t>
      </w:r>
      <w:r>
        <w:rPr>
          <w:rFonts w:hint="eastAsia" w:asciiTheme="minorEastAsia" w:hAnsiTheme="minorEastAsia" w:eastAsiaTheme="minorEastAsia"/>
          <w:b w:val="0"/>
          <w:bCs/>
          <w:sz w:val="24"/>
          <w:szCs w:val="24"/>
        </w:rPr>
        <w:t xml:space="preserve">   </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9</w:t>
      </w:r>
      <w:r>
        <w:rPr>
          <w:rFonts w:asciiTheme="minorEastAsia" w:hAnsiTheme="minorEastAsia" w:eastAsiaTheme="minorEastAsia"/>
          <w:b w:val="0"/>
          <w:bCs/>
          <w:sz w:val="24"/>
          <w:szCs w:val="24"/>
        </w:rPr>
        <w:t>日全天报到)</w:t>
      </w:r>
    </w:p>
    <w:p>
      <w:pPr>
        <w:pStyle w:val="2"/>
        <w:spacing w:line="440" w:lineRule="exact"/>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  </w:t>
      </w:r>
      <w:r>
        <w:rPr>
          <w:rFonts w:asciiTheme="minorEastAsia" w:hAnsiTheme="minorEastAsia" w:eastAsiaTheme="minorEastAsia"/>
          <w:b w:val="0"/>
          <w:bCs/>
          <w:sz w:val="24"/>
          <w:szCs w:val="24"/>
        </w:rPr>
        <w:t>报到地点：</w:t>
      </w:r>
      <w:r>
        <w:rPr>
          <w:rFonts w:hint="eastAsia" w:asciiTheme="minorEastAsia" w:hAnsiTheme="minorEastAsia" w:eastAsiaTheme="minorEastAsia"/>
          <w:b w:val="0"/>
          <w:bCs/>
          <w:sz w:val="24"/>
          <w:szCs w:val="24"/>
        </w:rPr>
        <w:t>长沙</w:t>
      </w:r>
      <w:r>
        <w:rPr>
          <w:rFonts w:asciiTheme="minorEastAsia" w:hAnsiTheme="minorEastAsia" w:eastAsiaTheme="minorEastAsia"/>
          <w:b w:val="0"/>
          <w:bCs/>
          <w:sz w:val="24"/>
          <w:szCs w:val="24"/>
        </w:rPr>
        <w:t>市  (具体地点直接发给报名人员)</w:t>
      </w:r>
    </w:p>
    <w:p>
      <w:pPr>
        <w:spacing w:line="420" w:lineRule="exact"/>
        <w:ind w:firstLine="466" w:firstLineChars="200"/>
        <w:rPr>
          <w:rFonts w:asciiTheme="minorEastAsia" w:hAnsiTheme="minorEastAsia" w:eastAsiaTheme="minorEastAsia"/>
          <w:b/>
          <w:bCs/>
          <w:spacing w:val="-4"/>
          <w:kern w:val="0"/>
          <w:sz w:val="24"/>
        </w:rPr>
      </w:pPr>
      <w:r>
        <w:rPr>
          <w:rFonts w:hint="eastAsia" w:asciiTheme="minorEastAsia" w:hAnsiTheme="minorEastAsia" w:eastAsiaTheme="minorEastAsia"/>
          <w:b/>
          <w:bCs/>
          <w:spacing w:val="-4"/>
          <w:kern w:val="0"/>
          <w:sz w:val="24"/>
        </w:rPr>
        <w:t>二、会议主要交流内容</w:t>
      </w:r>
    </w:p>
    <w:p>
      <w:pPr>
        <w:spacing w:line="420" w:lineRule="exact"/>
        <w:ind w:firstLine="464" w:firstLineChars="200"/>
        <w:rPr>
          <w:rFonts w:asciiTheme="minorEastAsia" w:hAnsiTheme="minorEastAsia" w:eastAsiaTheme="minorEastAsia"/>
          <w:bCs/>
          <w:spacing w:val="-4"/>
          <w:kern w:val="0"/>
          <w:sz w:val="24"/>
        </w:rPr>
      </w:pPr>
      <w:r>
        <w:rPr>
          <w:rFonts w:hint="eastAsia" w:asciiTheme="minorEastAsia" w:hAnsiTheme="minorEastAsia" w:eastAsiaTheme="minorEastAsia"/>
          <w:bCs/>
          <w:spacing w:val="-4"/>
          <w:kern w:val="0"/>
          <w:sz w:val="24"/>
        </w:rPr>
        <w:t>详见附件一（日程安排表)</w:t>
      </w:r>
    </w:p>
    <w:p>
      <w:pPr>
        <w:spacing w:line="420" w:lineRule="exact"/>
        <w:ind w:firstLine="466" w:firstLineChars="200"/>
        <w:rPr>
          <w:rFonts w:asciiTheme="minorEastAsia" w:hAnsiTheme="minorEastAsia" w:eastAsiaTheme="minorEastAsia"/>
          <w:b/>
          <w:bCs/>
          <w:spacing w:val="-4"/>
          <w:kern w:val="0"/>
          <w:sz w:val="24"/>
        </w:rPr>
      </w:pPr>
      <w:r>
        <w:rPr>
          <w:rFonts w:hint="eastAsia" w:asciiTheme="minorEastAsia" w:hAnsiTheme="minorEastAsia" w:eastAsiaTheme="minorEastAsia"/>
          <w:b/>
          <w:bCs/>
          <w:spacing w:val="-4"/>
          <w:kern w:val="0"/>
          <w:sz w:val="24"/>
        </w:rPr>
        <w:t>三、参会对象</w:t>
      </w:r>
    </w:p>
    <w:p>
      <w:pPr>
        <w:pStyle w:val="2"/>
        <w:tabs>
          <w:tab w:val="left" w:pos="1440"/>
        </w:tabs>
        <w:spacing w:line="470" w:lineRule="exact"/>
        <w:rPr>
          <w:rFonts w:asciiTheme="minorEastAsia" w:hAnsiTheme="minorEastAsia" w:eastAsiaTheme="minorEastAsia"/>
          <w:b w:val="0"/>
          <w:bCs/>
          <w:spacing w:val="-4"/>
          <w:sz w:val="24"/>
          <w:szCs w:val="24"/>
        </w:rPr>
      </w:pPr>
      <w:r>
        <w:rPr>
          <w:rFonts w:asciiTheme="minorEastAsia" w:hAnsiTheme="minorEastAsia" w:eastAsiaTheme="minorEastAsia"/>
          <w:b w:val="0"/>
          <w:sz w:val="24"/>
          <w:szCs w:val="24"/>
        </w:rPr>
        <w:t>制药企业质量管理人员；制药企业供应商现场审计人员；制药企业GMP内审人员；接受GMP检查的相关部门负责人（物料、设施与设备、生产、QC、验证、计量等）</w:t>
      </w:r>
      <w:r>
        <w:rPr>
          <w:rFonts w:hint="eastAsia" w:asciiTheme="minorEastAsia" w:hAnsiTheme="minorEastAsia" w:eastAsiaTheme="minorEastAsia"/>
          <w:b w:val="0"/>
          <w:sz w:val="24"/>
          <w:szCs w:val="24"/>
        </w:rPr>
        <w:t>；药企、研究单位及大学相关药品研发、注册申报相关人员</w:t>
      </w:r>
      <w:r>
        <w:rPr>
          <w:rFonts w:asciiTheme="minorEastAsia" w:hAnsiTheme="minorEastAsia" w:eastAsiaTheme="minorEastAsia"/>
          <w:b w:val="0"/>
          <w:sz w:val="24"/>
          <w:szCs w:val="24"/>
        </w:rPr>
        <w:t>。</w:t>
      </w:r>
    </w:p>
    <w:p>
      <w:pPr>
        <w:spacing w:line="420" w:lineRule="exact"/>
        <w:ind w:firstLine="457" w:firstLineChars="196"/>
        <w:rPr>
          <w:rFonts w:asciiTheme="minorEastAsia" w:hAnsiTheme="minorEastAsia" w:eastAsiaTheme="minorEastAsia"/>
          <w:b/>
          <w:bCs/>
          <w:sz w:val="24"/>
        </w:rPr>
      </w:pPr>
      <w:r>
        <w:rPr>
          <w:rFonts w:hint="eastAsia" w:asciiTheme="minorEastAsia" w:hAnsiTheme="minorEastAsia" w:eastAsiaTheme="minorEastAsia"/>
          <w:b/>
          <w:bCs/>
          <w:spacing w:val="-4"/>
          <w:kern w:val="0"/>
          <w:sz w:val="24"/>
        </w:rPr>
        <w:t>四、会议说明</w:t>
      </w:r>
    </w:p>
    <w:p>
      <w:pPr>
        <w:pStyle w:val="2"/>
        <w:tabs>
          <w:tab w:val="left" w:pos="1440"/>
        </w:tabs>
        <w:spacing w:line="470" w:lineRule="exact"/>
        <w:rPr>
          <w:rFonts w:asciiTheme="minorEastAsia" w:hAnsiTheme="minorEastAsia" w:eastAsiaTheme="minorEastAsia"/>
          <w:b w:val="0"/>
          <w:sz w:val="24"/>
          <w:szCs w:val="24"/>
        </w:rPr>
      </w:pPr>
      <w:r>
        <w:rPr>
          <w:rFonts w:asciiTheme="minorEastAsia" w:hAnsiTheme="minorEastAsia" w:eastAsiaTheme="minorEastAsia"/>
          <w:b w:val="0"/>
          <w:sz w:val="24"/>
          <w:szCs w:val="24"/>
        </w:rPr>
        <w:t>1、理论讲解,实例分析,专题讲授,互动答疑.</w:t>
      </w:r>
    </w:p>
    <w:p>
      <w:pPr>
        <w:pStyle w:val="2"/>
        <w:tabs>
          <w:tab w:val="left" w:pos="1440"/>
        </w:tabs>
        <w:spacing w:line="470" w:lineRule="exact"/>
        <w:rPr>
          <w:rFonts w:asciiTheme="minorEastAsia" w:hAnsiTheme="minorEastAsia" w:eastAsiaTheme="minorEastAsia"/>
          <w:b w:val="0"/>
          <w:bCs/>
          <w:sz w:val="24"/>
          <w:szCs w:val="24"/>
        </w:rPr>
      </w:pPr>
      <w:r>
        <w:rPr>
          <w:rFonts w:asciiTheme="minorEastAsia" w:hAnsiTheme="minorEastAsia" w:eastAsiaTheme="minorEastAsia"/>
          <w:b w:val="0"/>
          <w:sz w:val="24"/>
          <w:szCs w:val="24"/>
        </w:rPr>
        <w:t>2、主讲嘉宾均为</w:t>
      </w:r>
      <w:r>
        <w:rPr>
          <w:rFonts w:hint="eastAsia" w:asciiTheme="minorEastAsia" w:hAnsiTheme="minorEastAsia" w:eastAsiaTheme="minorEastAsia"/>
          <w:b w:val="0"/>
          <w:sz w:val="24"/>
          <w:szCs w:val="24"/>
        </w:rPr>
        <w:t>本</w:t>
      </w:r>
      <w:r>
        <w:rPr>
          <w:rFonts w:asciiTheme="minorEastAsia" w:hAnsiTheme="minorEastAsia" w:eastAsiaTheme="minorEastAsia"/>
          <w:b w:val="0"/>
          <w:sz w:val="24"/>
          <w:szCs w:val="24"/>
        </w:rPr>
        <w:t>协会GMP工作室专家，新版GMP标准起草人,检查员和行业内GMP资深专家、欢迎来电咨询。</w:t>
      </w:r>
    </w:p>
    <w:p>
      <w:pPr>
        <w:pStyle w:val="2"/>
        <w:tabs>
          <w:tab w:val="left" w:pos="1440"/>
        </w:tabs>
        <w:spacing w:line="470" w:lineRule="exact"/>
        <w:rPr>
          <w:rFonts w:asciiTheme="minorEastAsia" w:hAnsiTheme="minorEastAsia" w:eastAsiaTheme="minorEastAsia"/>
          <w:b w:val="0"/>
          <w:sz w:val="24"/>
          <w:szCs w:val="24"/>
        </w:rPr>
      </w:pPr>
      <w:r>
        <w:rPr>
          <w:rFonts w:asciiTheme="minorEastAsia" w:hAnsiTheme="minorEastAsia" w:eastAsiaTheme="minorEastAsia"/>
          <w:b w:val="0"/>
          <w:sz w:val="24"/>
          <w:szCs w:val="24"/>
        </w:rPr>
        <w:t>3、完成全部培训课程者</w:t>
      </w:r>
      <w:r>
        <w:rPr>
          <w:rFonts w:hint="eastAsia" w:asciiTheme="minorEastAsia" w:hAnsiTheme="minorEastAsia" w:eastAsiaTheme="minorEastAsia"/>
          <w:b w:val="0"/>
          <w:sz w:val="24"/>
          <w:szCs w:val="24"/>
        </w:rPr>
        <w:t>由</w:t>
      </w:r>
      <w:r>
        <w:rPr>
          <w:rFonts w:asciiTheme="minorEastAsia" w:hAnsiTheme="minorEastAsia" w:eastAsiaTheme="minorEastAsia"/>
          <w:b w:val="0"/>
          <w:sz w:val="24"/>
          <w:szCs w:val="24"/>
        </w:rPr>
        <w:t>协会颁发培训证书</w:t>
      </w:r>
    </w:p>
    <w:p>
      <w:pPr>
        <w:pStyle w:val="2"/>
        <w:tabs>
          <w:tab w:val="left" w:pos="1440"/>
        </w:tabs>
        <w:spacing w:line="470" w:lineRule="exact"/>
        <w:rPr>
          <w:rFonts w:asciiTheme="minorEastAsia" w:hAnsiTheme="minorEastAsia" w:eastAsiaTheme="minorEastAsia"/>
          <w:b w:val="0"/>
          <w:sz w:val="24"/>
          <w:szCs w:val="24"/>
        </w:rPr>
      </w:pPr>
      <w:r>
        <w:rPr>
          <w:rFonts w:asciiTheme="minorEastAsia" w:hAnsiTheme="minorEastAsia" w:eastAsiaTheme="minorEastAsia"/>
          <w:b w:val="0"/>
          <w:sz w:val="24"/>
          <w:szCs w:val="24"/>
        </w:rPr>
        <w:t>4、企业需要GMP内训和指导，请与会务组联系</w:t>
      </w:r>
    </w:p>
    <w:p>
      <w:pPr>
        <w:tabs>
          <w:tab w:val="center" w:pos="4156"/>
        </w:tabs>
        <w:spacing w:line="42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五、会议费用</w:t>
      </w:r>
    </w:p>
    <w:p>
      <w:pPr>
        <w:pStyle w:val="2"/>
        <w:tabs>
          <w:tab w:val="left" w:pos="1440"/>
        </w:tabs>
        <w:spacing w:line="470" w:lineRule="exact"/>
        <w:rPr>
          <w:rFonts w:asciiTheme="minorEastAsia" w:hAnsiTheme="minorEastAsia" w:eastAsiaTheme="minorEastAsia"/>
          <w:b w:val="0"/>
          <w:bCs/>
          <w:sz w:val="24"/>
          <w:szCs w:val="24"/>
        </w:rPr>
      </w:pPr>
      <w:r>
        <w:rPr>
          <w:rFonts w:asciiTheme="minorEastAsia" w:hAnsiTheme="minorEastAsia" w:eastAsiaTheme="minorEastAsia"/>
          <w:b w:val="0"/>
          <w:sz w:val="24"/>
          <w:szCs w:val="24"/>
        </w:rPr>
        <w:t>会务费：</w:t>
      </w:r>
      <w:r>
        <w:rPr>
          <w:rFonts w:hint="eastAsia" w:asciiTheme="minorEastAsia" w:hAnsiTheme="minorEastAsia" w:eastAsiaTheme="minorEastAsia"/>
          <w:b w:val="0"/>
          <w:sz w:val="24"/>
          <w:szCs w:val="24"/>
        </w:rPr>
        <w:t>1500</w:t>
      </w:r>
      <w:r>
        <w:rPr>
          <w:rFonts w:asciiTheme="minorEastAsia" w:hAnsiTheme="minorEastAsia" w:eastAsiaTheme="minorEastAsia"/>
          <w:b w:val="0"/>
          <w:sz w:val="24"/>
          <w:szCs w:val="24"/>
        </w:rPr>
        <w:t>元/人</w:t>
      </w:r>
      <w:r>
        <w:rPr>
          <w:rFonts w:asciiTheme="minorEastAsia" w:hAnsiTheme="minorEastAsia" w:eastAsiaTheme="minorEastAsia"/>
          <w:b w:val="0"/>
          <w:bCs/>
          <w:w w:val="90"/>
          <w:sz w:val="24"/>
          <w:szCs w:val="24"/>
        </w:rPr>
        <w:t>（</w:t>
      </w:r>
      <w:r>
        <w:rPr>
          <w:rFonts w:asciiTheme="minorEastAsia" w:hAnsiTheme="minorEastAsia" w:eastAsiaTheme="minorEastAsia"/>
          <w:b w:val="0"/>
          <w:sz w:val="24"/>
          <w:szCs w:val="24"/>
        </w:rPr>
        <w:t>会务费包括：培训、研讨、资料等）</w:t>
      </w:r>
      <w:r>
        <w:rPr>
          <w:rFonts w:hint="eastAsia" w:asciiTheme="minorEastAsia" w:hAnsiTheme="minorEastAsia" w:eastAsiaTheme="minorEastAsia"/>
          <w:b w:val="0"/>
          <w:sz w:val="24"/>
          <w:szCs w:val="24"/>
        </w:rPr>
        <w:t>；每单位参会8至10人，按1万元培训费收取；</w:t>
      </w:r>
      <w:r>
        <w:rPr>
          <w:rFonts w:asciiTheme="minorEastAsia" w:hAnsiTheme="minorEastAsia" w:eastAsiaTheme="minorEastAsia"/>
          <w:b w:val="0"/>
          <w:sz w:val="24"/>
          <w:szCs w:val="24"/>
        </w:rPr>
        <w:t>食宿统一安排，费用自理。</w:t>
      </w:r>
    </w:p>
    <w:p>
      <w:pPr>
        <w:tabs>
          <w:tab w:val="center" w:pos="4156"/>
        </w:tabs>
        <w:spacing w:line="42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六、联系方式</w:t>
      </w:r>
    </w:p>
    <w:p>
      <w:pPr>
        <w:pStyle w:val="2"/>
        <w:tabs>
          <w:tab w:val="left" w:pos="1440"/>
        </w:tabs>
        <w:spacing w:line="470" w:lineRule="exact"/>
        <w:ind w:firstLine="472" w:firstLineChars="196"/>
        <w:rPr>
          <w:rFonts w:asciiTheme="minorEastAsia" w:hAnsiTheme="minorEastAsia" w:eastAsiaTheme="minorEastAsia"/>
          <w:b w:val="0"/>
          <w:sz w:val="24"/>
          <w:szCs w:val="24"/>
        </w:rPr>
      </w:pPr>
      <w:r>
        <w:rPr>
          <w:rFonts w:asciiTheme="minorEastAsia" w:hAnsiTheme="minorEastAsia" w:eastAsiaTheme="minorEastAsia"/>
          <w:sz w:val="24"/>
          <w:szCs w:val="24"/>
        </w:rPr>
        <w:t>电    话：</w:t>
      </w:r>
      <w:r>
        <w:rPr>
          <w:rFonts w:asciiTheme="minorEastAsia" w:hAnsiTheme="minorEastAsia" w:eastAsiaTheme="minorEastAsia"/>
          <w:b w:val="0"/>
          <w:sz w:val="24"/>
          <w:szCs w:val="24"/>
        </w:rPr>
        <w:t>010-51606</w:t>
      </w:r>
      <w:r>
        <w:rPr>
          <w:rFonts w:hint="eastAsia" w:asciiTheme="minorEastAsia" w:hAnsiTheme="minorEastAsia" w:eastAsiaTheme="minorEastAsia"/>
          <w:b w:val="0"/>
          <w:sz w:val="24"/>
          <w:szCs w:val="24"/>
          <w:lang w:val="en-US" w:eastAsia="zh-CN"/>
        </w:rPr>
        <w:t>934</w:t>
      </w:r>
      <w:r>
        <w:rPr>
          <w:rFonts w:asciiTheme="minorEastAsia" w:hAnsiTheme="minorEastAsia" w:eastAsiaTheme="minorEastAsia"/>
          <w:b w:val="0"/>
          <w:sz w:val="24"/>
          <w:szCs w:val="24"/>
        </w:rPr>
        <w:t xml:space="preserve">      </w:t>
      </w:r>
      <w:r>
        <w:rPr>
          <w:rFonts w:asciiTheme="minorEastAsia" w:hAnsiTheme="minorEastAsia" w:eastAsiaTheme="minorEastAsia"/>
          <w:sz w:val="24"/>
          <w:szCs w:val="24"/>
        </w:rPr>
        <w:t>传  真：</w:t>
      </w:r>
      <w:r>
        <w:rPr>
          <w:rFonts w:asciiTheme="minorEastAsia" w:hAnsiTheme="minorEastAsia" w:eastAsiaTheme="minorEastAsia"/>
          <w:b w:val="0"/>
          <w:sz w:val="24"/>
          <w:szCs w:val="24"/>
        </w:rPr>
        <w:t>010-51606</w:t>
      </w:r>
      <w:r>
        <w:rPr>
          <w:rFonts w:hint="eastAsia" w:asciiTheme="minorEastAsia" w:hAnsiTheme="minorEastAsia" w:eastAsiaTheme="minorEastAsia"/>
          <w:b w:val="0"/>
          <w:sz w:val="24"/>
          <w:szCs w:val="24"/>
          <w:lang w:val="en-US" w:eastAsia="zh-CN"/>
        </w:rPr>
        <w:t>934</w:t>
      </w:r>
    </w:p>
    <w:p>
      <w:pPr>
        <w:pStyle w:val="2"/>
        <w:tabs>
          <w:tab w:val="left" w:pos="1440"/>
        </w:tabs>
        <w:spacing w:line="470" w:lineRule="exact"/>
        <w:rPr>
          <w:rFonts w:asciiTheme="minorEastAsia" w:hAnsiTheme="minorEastAsia" w:eastAsiaTheme="minorEastAsia"/>
          <w:sz w:val="24"/>
          <w:szCs w:val="24"/>
        </w:rPr>
      </w:pPr>
      <w:r>
        <w:rPr>
          <w:rFonts w:asciiTheme="minorEastAsia" w:hAnsiTheme="minorEastAsia" w:eastAsiaTheme="minorEastAsia"/>
          <w:sz w:val="24"/>
          <w:szCs w:val="24"/>
        </w:rPr>
        <w:t>联 系 人：</w:t>
      </w:r>
      <w:r>
        <w:rPr>
          <w:rFonts w:hint="eastAsia" w:asciiTheme="minorEastAsia" w:hAnsiTheme="minorEastAsia" w:eastAsiaTheme="minorEastAsia"/>
          <w:sz w:val="24"/>
          <w:szCs w:val="24"/>
          <w:lang w:eastAsia="zh-CN"/>
        </w:rPr>
        <w:t>马超</w:t>
      </w:r>
      <w:r>
        <w:rPr>
          <w:rFonts w:asciiTheme="minorEastAsia" w:hAnsiTheme="minorEastAsia" w:eastAsiaTheme="minorEastAsia"/>
          <w:sz w:val="24"/>
          <w:szCs w:val="24"/>
        </w:rPr>
        <w:t xml:space="preserve">    </w:t>
      </w:r>
      <w:r>
        <w:rPr>
          <w:rFonts w:asciiTheme="minorEastAsia" w:hAnsiTheme="minorEastAsia" w:eastAsiaTheme="minorEastAsia"/>
          <w:b w:val="0"/>
          <w:sz w:val="24"/>
          <w:szCs w:val="24"/>
        </w:rPr>
        <w:t xml:space="preserve">         </w:t>
      </w:r>
      <w:r>
        <w:rPr>
          <w:rFonts w:asciiTheme="minorEastAsia" w:hAnsiTheme="minorEastAsia" w:eastAsiaTheme="minorEastAsia"/>
          <w:sz w:val="24"/>
          <w:szCs w:val="24"/>
        </w:rPr>
        <w:t>邮  箱:</w:t>
      </w:r>
      <w:r>
        <w:rPr>
          <w:rFonts w:hint="eastAsia" w:asciiTheme="minorEastAsia" w:hAnsiTheme="minorEastAsia" w:eastAsiaTheme="minorEastAsia"/>
          <w:sz w:val="24"/>
          <w:szCs w:val="24"/>
          <w:lang w:val="en-US" w:eastAsia="zh-CN"/>
        </w:rPr>
        <w:t>1683101345@qq.com</w:t>
      </w:r>
    </w:p>
    <w:p>
      <w:pPr>
        <w:pStyle w:val="2"/>
        <w:tabs>
          <w:tab w:val="left" w:pos="1440"/>
        </w:tabs>
        <w:spacing w:line="470" w:lineRule="exact"/>
        <w:rPr>
          <w:rFonts w:asciiTheme="minorEastAsia" w:hAnsiTheme="minorEastAsia" w:eastAsiaTheme="minorEastAsia"/>
          <w:b w:val="0"/>
          <w:sz w:val="24"/>
          <w:szCs w:val="24"/>
        </w:rPr>
      </w:pPr>
      <w:r>
        <w:rPr>
          <w:rFonts w:asciiTheme="minorEastAsia" w:hAnsiTheme="minorEastAsia" w:eastAsiaTheme="minorEastAsia"/>
          <w:sz w:val="24"/>
          <w:szCs w:val="24"/>
        </w:rPr>
        <w:t>附件一：</w:t>
      </w:r>
      <w:r>
        <w:rPr>
          <w:rFonts w:asciiTheme="minorEastAsia" w:hAnsiTheme="minorEastAsia" w:eastAsiaTheme="minorEastAsia"/>
          <w:b w:val="0"/>
          <w:sz w:val="24"/>
          <w:szCs w:val="24"/>
        </w:rPr>
        <w:t>会议日程安排</w:t>
      </w:r>
      <w:r>
        <w:rPr>
          <w:rFonts w:hint="eastAsia" w:asciiTheme="minorEastAsia" w:hAnsiTheme="minorEastAsia" w:eastAsiaTheme="minorEastAsia"/>
          <w:b w:val="0"/>
          <w:sz w:val="24"/>
          <w:szCs w:val="24"/>
        </w:rPr>
        <w:t xml:space="preserve">        </w:t>
      </w:r>
    </w:p>
    <w:p>
      <w:pPr>
        <w:pStyle w:val="2"/>
        <w:tabs>
          <w:tab w:val="left" w:pos="1440"/>
        </w:tabs>
        <w:spacing w:line="470" w:lineRule="exact"/>
        <w:rPr>
          <w:rFonts w:asciiTheme="minorEastAsia" w:hAnsiTheme="minorEastAsia" w:eastAsiaTheme="minorEastAsia"/>
          <w:b w:val="0"/>
          <w:sz w:val="24"/>
          <w:szCs w:val="24"/>
        </w:rPr>
      </w:pPr>
      <w:r>
        <w:rPr>
          <w:rFonts w:hint="eastAsia" w:asciiTheme="minorEastAsia" w:hAnsiTheme="minorEastAsia" w:eastAsiaTheme="minorEastAsia"/>
          <w:bCs/>
          <w:sz w:val="24"/>
          <w:szCs w:val="24"/>
        </w:rPr>
        <w:t>附件二：参会报名表</w:t>
      </w:r>
    </w:p>
    <w:p>
      <w:pPr>
        <w:spacing w:line="360" w:lineRule="exact"/>
        <w:rPr>
          <w:rFonts w:asciiTheme="minorEastAsia" w:hAnsiTheme="minorEastAsia" w:eastAsiaTheme="minorEastAsia"/>
          <w:bCs/>
          <w:sz w:val="24"/>
        </w:rPr>
      </w:pPr>
    </w:p>
    <w:p>
      <w:pPr>
        <w:pStyle w:val="2"/>
        <w:tabs>
          <w:tab w:val="left" w:pos="1440"/>
          <w:tab w:val="left" w:pos="2100"/>
        </w:tabs>
        <w:spacing w:line="47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中国化工企业管理协会医药化工专业委员会 </w:t>
      </w:r>
    </w:p>
    <w:p>
      <w:pPr>
        <w:pStyle w:val="2"/>
        <w:tabs>
          <w:tab w:val="left" w:pos="1440"/>
          <w:tab w:val="left" w:pos="2100"/>
        </w:tabs>
        <w:spacing w:line="470" w:lineRule="exact"/>
        <w:ind w:firstLine="0"/>
        <w:rPr>
          <w:rFonts w:asciiTheme="minorEastAsia" w:hAnsiTheme="minorEastAsia" w:eastAsiaTheme="minorEastAsia"/>
          <w:b w:val="0"/>
          <w:bCs/>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二○一六年</w:t>
      </w:r>
      <w:r>
        <w:rPr>
          <w:rFonts w:hint="eastAsia" w:asciiTheme="minorEastAsia" w:hAnsiTheme="minorEastAsia" w:eastAsiaTheme="minorEastAsia"/>
          <w:sz w:val="24"/>
          <w:szCs w:val="24"/>
        </w:rPr>
        <w:t>十</w:t>
      </w:r>
      <w:r>
        <w:rPr>
          <w:rFonts w:asciiTheme="minorEastAsia" w:hAnsiTheme="minorEastAsia" w:eastAsiaTheme="minorEastAsia"/>
          <w:sz w:val="24"/>
          <w:szCs w:val="24"/>
        </w:rPr>
        <w:t>月</w:t>
      </w:r>
    </w:p>
    <w:p>
      <w:pPr>
        <w:spacing w:line="500" w:lineRule="exact"/>
        <w:rPr>
          <w:rFonts w:ascii="仿宋_GB2312" w:hAnsi="仿宋_GB2312" w:eastAsia="仿宋_GB2312" w:cs="仿宋_GB2312"/>
          <w:b/>
          <w:sz w:val="28"/>
        </w:rPr>
      </w:pPr>
    </w:p>
    <w:tbl>
      <w:tblPr>
        <w:tblStyle w:val="7"/>
        <w:tblpPr w:leftFromText="180" w:rightFromText="180" w:vertAnchor="page" w:horzAnchor="margin" w:tblpY="1891"/>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58" w:hRule="atLeast"/>
        </w:trPr>
        <w:tc>
          <w:tcPr>
            <w:tcW w:w="1675" w:type="dxa"/>
            <w:vAlign w:val="center"/>
          </w:tcPr>
          <w:p>
            <w:pPr>
              <w:spacing w:line="320" w:lineRule="exact"/>
              <w:rPr>
                <w:rFonts w:ascii="宋体" w:hAnsi="宋体"/>
                <w:b/>
                <w:kern w:val="0"/>
                <w:sz w:val="24"/>
              </w:rPr>
            </w:pPr>
          </w:p>
          <w:p>
            <w:pPr>
              <w:spacing w:line="320" w:lineRule="exact"/>
              <w:rPr>
                <w:rFonts w:ascii="宋体" w:hAnsi="宋体"/>
                <w:b/>
                <w:kern w:val="0"/>
                <w:sz w:val="24"/>
              </w:rPr>
            </w:pPr>
          </w:p>
          <w:p>
            <w:pPr>
              <w:spacing w:line="320" w:lineRule="exact"/>
              <w:rPr>
                <w:rFonts w:ascii="宋体" w:hAnsi="宋体"/>
                <w:b/>
                <w:kern w:val="0"/>
                <w:sz w:val="24"/>
              </w:rPr>
            </w:pPr>
          </w:p>
          <w:p>
            <w:pPr>
              <w:spacing w:line="320" w:lineRule="exact"/>
              <w:rPr>
                <w:rFonts w:ascii="宋体" w:hAnsi="宋体"/>
                <w:b/>
                <w:kern w:val="0"/>
                <w:sz w:val="24"/>
              </w:rPr>
            </w:pPr>
            <w:r>
              <w:rPr>
                <w:rFonts w:hint="eastAsia" w:ascii="宋体" w:hAnsi="宋体"/>
                <w:b/>
                <w:kern w:val="0"/>
                <w:sz w:val="24"/>
              </w:rPr>
              <w:t xml:space="preserve">  11月26日</w:t>
            </w:r>
          </w:p>
          <w:p>
            <w:pPr>
              <w:spacing w:line="320" w:lineRule="exact"/>
              <w:jc w:val="center"/>
              <w:rPr>
                <w:rFonts w:ascii="宋体" w:hAnsi="宋体"/>
                <w:b/>
                <w:bCs/>
                <w:sz w:val="24"/>
              </w:rPr>
            </w:pPr>
            <w:r>
              <w:rPr>
                <w:rFonts w:hint="eastAsia" w:ascii="宋体" w:hAnsi="宋体"/>
                <w:b/>
                <w:bCs/>
                <w:sz w:val="24"/>
              </w:rPr>
              <w:t>（星期六）</w:t>
            </w:r>
          </w:p>
          <w:p>
            <w:pPr>
              <w:spacing w:line="320" w:lineRule="exact"/>
              <w:jc w:val="center"/>
              <w:rPr>
                <w:rFonts w:ascii="宋体" w:hAnsi="宋体"/>
                <w:b/>
                <w:kern w:val="0"/>
                <w:sz w:val="24"/>
              </w:rPr>
            </w:pPr>
            <w:r>
              <w:rPr>
                <w:rFonts w:hint="eastAsia" w:ascii="宋体" w:hAnsi="宋体"/>
                <w:b/>
                <w:kern w:val="0"/>
                <w:sz w:val="24"/>
              </w:rPr>
              <w:t>09:00-12:00</w:t>
            </w: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rPr>
                <w:rFonts w:ascii="宋体" w:hAnsi="宋体"/>
                <w:b/>
                <w:kern w:val="0"/>
                <w:sz w:val="24"/>
              </w:rPr>
            </w:pPr>
            <w:r>
              <w:rPr>
                <w:rFonts w:hint="eastAsia" w:ascii="宋体" w:hAnsi="宋体"/>
                <w:b/>
                <w:kern w:val="0"/>
                <w:sz w:val="24"/>
              </w:rPr>
              <w:t>14:00-17:00</w:t>
            </w:r>
          </w:p>
          <w:p>
            <w:pPr>
              <w:spacing w:line="320" w:lineRule="exact"/>
              <w:jc w:val="center"/>
              <w:rPr>
                <w:rFonts w:ascii="宋体" w:hAnsi="宋体"/>
                <w:b/>
                <w:bCs/>
                <w:sz w:val="24"/>
              </w:rPr>
            </w:pPr>
          </w:p>
          <w:p>
            <w:pPr>
              <w:spacing w:line="320" w:lineRule="exact"/>
              <w:rPr>
                <w:rFonts w:ascii="宋体" w:hAnsi="宋体"/>
                <w:b/>
                <w:bCs/>
                <w:sz w:val="24"/>
              </w:rPr>
            </w:pPr>
          </w:p>
          <w:p>
            <w:pPr>
              <w:spacing w:line="320" w:lineRule="exact"/>
              <w:jc w:val="center"/>
              <w:rPr>
                <w:rFonts w:ascii="宋体" w:hAnsi="宋体"/>
                <w:b/>
                <w:bCs/>
                <w:sz w:val="24"/>
              </w:rPr>
            </w:pPr>
          </w:p>
          <w:p>
            <w:pPr>
              <w:spacing w:line="320" w:lineRule="exact"/>
              <w:jc w:val="center"/>
              <w:rPr>
                <w:rFonts w:ascii="宋体" w:hAnsi="宋体"/>
                <w:b/>
                <w:bCs/>
                <w:sz w:val="24"/>
              </w:rPr>
            </w:pPr>
          </w:p>
          <w:p>
            <w:pPr>
              <w:spacing w:line="320" w:lineRule="exact"/>
              <w:jc w:val="center"/>
              <w:rPr>
                <w:rFonts w:ascii="宋体" w:hAnsi="宋体"/>
                <w:b/>
                <w:bCs/>
                <w:sz w:val="24"/>
              </w:rPr>
            </w:pPr>
          </w:p>
          <w:p>
            <w:pPr>
              <w:spacing w:line="320" w:lineRule="exact"/>
              <w:rPr>
                <w:rFonts w:ascii="宋体" w:hAnsi="宋体"/>
                <w:b/>
                <w:kern w:val="0"/>
                <w:sz w:val="24"/>
              </w:rPr>
            </w:pPr>
          </w:p>
          <w:p>
            <w:pPr>
              <w:spacing w:line="320" w:lineRule="exact"/>
              <w:jc w:val="center"/>
              <w:rPr>
                <w:rFonts w:ascii="宋体" w:hAnsi="宋体"/>
                <w:b/>
                <w:bCs/>
                <w:sz w:val="24"/>
              </w:rPr>
            </w:pPr>
          </w:p>
        </w:tc>
        <w:tc>
          <w:tcPr>
            <w:tcW w:w="8164" w:type="dxa"/>
            <w:vAlign w:val="center"/>
          </w:tcPr>
          <w:p>
            <w:pPr>
              <w:widowControl/>
              <w:jc w:val="left"/>
              <w:rPr>
                <w:rFonts w:ascii="Arial" w:hAnsi="Arial" w:cs="Arial"/>
                <w:b/>
                <w:bCs/>
                <w:color w:val="000000"/>
                <w:kern w:val="0"/>
                <w:sz w:val="24"/>
              </w:rPr>
            </w:pPr>
            <w:r>
              <w:rPr>
                <w:rFonts w:hint="eastAsia" w:ascii="Arial" w:hAnsi="Arial" w:cs="Arial"/>
                <w:b/>
                <w:bCs/>
                <w:color w:val="000000"/>
                <w:kern w:val="0"/>
                <w:sz w:val="24"/>
              </w:rPr>
              <w:t>一：如何深层次理解与认识数据可靠性问题</w:t>
            </w:r>
          </w:p>
          <w:p>
            <w:pPr>
              <w:widowControl/>
              <w:jc w:val="left"/>
              <w:rPr>
                <w:rFonts w:ascii="Arial" w:hAnsi="Arial" w:cs="Arial"/>
                <w:bCs/>
                <w:color w:val="000000"/>
                <w:kern w:val="0"/>
                <w:szCs w:val="21"/>
              </w:rPr>
            </w:pPr>
            <w:r>
              <w:rPr>
                <w:rFonts w:hint="eastAsia" w:ascii="Arial" w:hAnsi="Arial" w:cs="Arial"/>
                <w:bCs/>
                <w:color w:val="000000"/>
                <w:kern w:val="0"/>
                <w:szCs w:val="21"/>
              </w:rPr>
              <w:t>1.数据可靠性（DI）相关法规和指南概述；</w:t>
            </w:r>
          </w:p>
          <w:p>
            <w:pPr>
              <w:widowControl/>
              <w:jc w:val="left"/>
              <w:rPr>
                <w:rFonts w:ascii="Arial" w:hAnsi="Arial" w:cs="Arial"/>
                <w:bCs/>
                <w:color w:val="000000"/>
                <w:kern w:val="0"/>
                <w:szCs w:val="21"/>
              </w:rPr>
            </w:pPr>
            <w:r>
              <w:rPr>
                <w:rFonts w:hint="eastAsia" w:ascii="Arial" w:hAnsi="Arial" w:cs="Arial"/>
                <w:bCs/>
                <w:color w:val="000000"/>
                <w:kern w:val="0"/>
                <w:szCs w:val="21"/>
              </w:rPr>
              <w:t>2.如何从更高的角度去认识数据可靠性问题；</w:t>
            </w:r>
          </w:p>
          <w:p>
            <w:pPr>
              <w:widowControl/>
              <w:jc w:val="left"/>
              <w:rPr>
                <w:rFonts w:ascii="Arial" w:hAnsi="Arial" w:cs="Arial"/>
                <w:bCs/>
                <w:color w:val="000000"/>
                <w:kern w:val="0"/>
                <w:szCs w:val="21"/>
              </w:rPr>
            </w:pPr>
            <w:r>
              <w:rPr>
                <w:rFonts w:hint="eastAsia" w:ascii="Arial" w:hAnsi="Arial" w:cs="Arial"/>
                <w:bCs/>
                <w:color w:val="000000"/>
                <w:kern w:val="0"/>
                <w:szCs w:val="21"/>
              </w:rPr>
              <w:t>3.数据可靠性根源与监管环境与企业质量文化的深层次分析；</w:t>
            </w:r>
          </w:p>
          <w:p>
            <w:pPr>
              <w:widowControl/>
              <w:jc w:val="left"/>
              <w:rPr>
                <w:rFonts w:ascii="Arial" w:hAnsi="Arial" w:cs="Arial"/>
                <w:bCs/>
                <w:color w:val="000000"/>
                <w:kern w:val="0"/>
                <w:szCs w:val="21"/>
              </w:rPr>
            </w:pPr>
            <w:r>
              <w:rPr>
                <w:rFonts w:hint="eastAsia" w:ascii="Arial" w:hAnsi="Arial" w:cs="Arial"/>
                <w:bCs/>
                <w:color w:val="000000"/>
                <w:kern w:val="0"/>
                <w:szCs w:val="21"/>
              </w:rPr>
              <w:t>4.数据可靠性导致的连锁反应及对企业发展的严重影响分析；</w:t>
            </w:r>
          </w:p>
          <w:p>
            <w:pPr>
              <w:widowControl/>
              <w:jc w:val="left"/>
              <w:rPr>
                <w:rFonts w:ascii="Arial" w:hAnsi="Arial" w:cs="Arial"/>
                <w:bCs/>
                <w:color w:val="000000"/>
                <w:kern w:val="0"/>
                <w:szCs w:val="21"/>
              </w:rPr>
            </w:pPr>
            <w:r>
              <w:rPr>
                <w:rFonts w:hint="eastAsia" w:ascii="Arial" w:hAnsi="Arial" w:cs="Arial"/>
                <w:bCs/>
                <w:color w:val="000000"/>
                <w:kern w:val="0"/>
                <w:szCs w:val="21"/>
              </w:rPr>
              <w:t>5.电子数据符合21CFR11适用性判断流程图；</w:t>
            </w:r>
          </w:p>
          <w:p>
            <w:pPr>
              <w:widowControl/>
              <w:jc w:val="left"/>
              <w:rPr>
                <w:rFonts w:ascii="Arial" w:hAnsi="Arial" w:cs="Arial"/>
                <w:bCs/>
                <w:color w:val="000000"/>
                <w:kern w:val="0"/>
                <w:szCs w:val="21"/>
              </w:rPr>
            </w:pPr>
            <w:r>
              <w:rPr>
                <w:rFonts w:hint="eastAsia" w:ascii="Arial" w:hAnsi="Arial" w:cs="Arial"/>
                <w:bCs/>
                <w:color w:val="000000"/>
                <w:kern w:val="0"/>
                <w:szCs w:val="21"/>
              </w:rPr>
              <w:t>6.数据可靠性的关键点分析、适用范围与ALCOA+CCEA解读；</w:t>
            </w:r>
          </w:p>
          <w:p>
            <w:pPr>
              <w:widowControl/>
              <w:jc w:val="left"/>
              <w:rPr>
                <w:rFonts w:ascii="Arial" w:hAnsi="Arial" w:cs="Arial"/>
                <w:bCs/>
                <w:color w:val="000000"/>
                <w:kern w:val="0"/>
                <w:szCs w:val="21"/>
              </w:rPr>
            </w:pPr>
            <w:r>
              <w:rPr>
                <w:rFonts w:hint="eastAsia" w:ascii="Arial" w:hAnsi="Arial" w:cs="Arial"/>
                <w:bCs/>
                <w:color w:val="000000"/>
                <w:kern w:val="0"/>
                <w:szCs w:val="21"/>
              </w:rPr>
              <w:t>7.电子记录与纸质记录的DI要求比较与不符合举例分析；</w:t>
            </w:r>
          </w:p>
          <w:p>
            <w:pPr>
              <w:widowControl/>
              <w:jc w:val="left"/>
              <w:rPr>
                <w:rFonts w:ascii="Arial" w:hAnsi="Arial" w:cs="Arial"/>
                <w:bCs/>
                <w:color w:val="000000"/>
                <w:kern w:val="0"/>
                <w:szCs w:val="21"/>
              </w:rPr>
            </w:pPr>
            <w:r>
              <w:rPr>
                <w:rFonts w:hint="eastAsia" w:ascii="Arial" w:hAnsi="Arial" w:cs="Arial"/>
                <w:bCs/>
                <w:color w:val="000000"/>
                <w:kern w:val="0"/>
                <w:szCs w:val="21"/>
              </w:rPr>
              <w:t>8.违法数据可靠性原则（ALCOA+CCEA）的复杂案例分析；</w:t>
            </w:r>
          </w:p>
          <w:p>
            <w:pPr>
              <w:widowControl/>
              <w:jc w:val="left"/>
              <w:rPr>
                <w:rFonts w:ascii="Arial" w:hAnsi="Arial" w:cs="Arial"/>
                <w:bCs/>
                <w:color w:val="000000"/>
                <w:kern w:val="0"/>
                <w:szCs w:val="21"/>
              </w:rPr>
            </w:pPr>
            <w:r>
              <w:rPr>
                <w:rFonts w:hint="eastAsia" w:ascii="Arial" w:hAnsi="Arial" w:cs="Arial"/>
                <w:bCs/>
                <w:color w:val="000000"/>
                <w:kern w:val="0"/>
                <w:szCs w:val="21"/>
              </w:rPr>
              <w:t>9.数据可靠性典型案例、严重性分类；</w:t>
            </w:r>
          </w:p>
          <w:p>
            <w:pPr>
              <w:widowControl/>
              <w:jc w:val="left"/>
              <w:rPr>
                <w:rFonts w:ascii="Arial" w:hAnsi="Arial" w:cs="Arial"/>
                <w:bCs/>
                <w:color w:val="000000"/>
                <w:kern w:val="0"/>
                <w:szCs w:val="21"/>
              </w:rPr>
            </w:pPr>
            <w:r>
              <w:rPr>
                <w:rFonts w:hint="eastAsia" w:ascii="Arial" w:hAnsi="Arial" w:cs="Arial"/>
                <w:bCs/>
                <w:color w:val="000000"/>
                <w:kern w:val="0"/>
                <w:szCs w:val="21"/>
              </w:rPr>
              <w:t>10.CFDA对药企生产数据的可靠性检查风暴就要来临。</w:t>
            </w:r>
          </w:p>
          <w:p>
            <w:pPr>
              <w:widowControl/>
              <w:jc w:val="left"/>
              <w:rPr>
                <w:rFonts w:ascii="Arial" w:hAnsi="Arial" w:cs="Arial"/>
                <w:b/>
                <w:bCs/>
                <w:color w:val="000000"/>
                <w:kern w:val="0"/>
                <w:sz w:val="24"/>
              </w:rPr>
            </w:pPr>
            <w:r>
              <w:rPr>
                <w:rFonts w:hint="eastAsia" w:ascii="Arial" w:hAnsi="Arial" w:cs="Arial"/>
                <w:b/>
                <w:bCs/>
                <w:color w:val="000000"/>
                <w:kern w:val="0"/>
                <w:sz w:val="24"/>
              </w:rPr>
              <w:t>二、数据可靠性管控的顶层设计</w:t>
            </w:r>
          </w:p>
          <w:p>
            <w:pPr>
              <w:widowControl/>
              <w:jc w:val="left"/>
              <w:rPr>
                <w:rFonts w:ascii="Arial" w:hAnsi="Arial" w:cs="Arial"/>
                <w:bCs/>
                <w:color w:val="000000"/>
                <w:kern w:val="0"/>
                <w:szCs w:val="21"/>
              </w:rPr>
            </w:pPr>
            <w:r>
              <w:rPr>
                <w:rFonts w:hint="eastAsia" w:ascii="Arial" w:hAnsi="Arial" w:cs="Arial"/>
                <w:bCs/>
                <w:color w:val="000000"/>
                <w:kern w:val="0"/>
                <w:szCs w:val="21"/>
              </w:rPr>
              <w:t>1.数据可靠性管控顶层设计主要考虑的角度与要点；</w:t>
            </w:r>
          </w:p>
          <w:p>
            <w:pPr>
              <w:widowControl/>
              <w:jc w:val="left"/>
              <w:rPr>
                <w:rFonts w:ascii="Arial" w:hAnsi="Arial" w:cs="Arial"/>
                <w:bCs/>
                <w:color w:val="000000"/>
                <w:kern w:val="0"/>
                <w:szCs w:val="21"/>
              </w:rPr>
            </w:pPr>
            <w:r>
              <w:rPr>
                <w:rFonts w:hint="eastAsia" w:ascii="Arial" w:hAnsi="Arial" w:cs="Arial"/>
                <w:bCs/>
                <w:color w:val="000000"/>
                <w:kern w:val="0"/>
                <w:szCs w:val="21"/>
              </w:rPr>
              <w:t>2.数据可靠性管控的风险/资源/发展三者间的平衡；</w:t>
            </w:r>
          </w:p>
          <w:p>
            <w:pPr>
              <w:widowControl/>
              <w:jc w:val="left"/>
              <w:rPr>
                <w:rFonts w:ascii="Arial" w:hAnsi="Arial" w:cs="Arial"/>
                <w:bCs/>
                <w:color w:val="000000"/>
                <w:kern w:val="0"/>
                <w:szCs w:val="21"/>
              </w:rPr>
            </w:pPr>
            <w:r>
              <w:rPr>
                <w:rFonts w:hint="eastAsia" w:ascii="Arial" w:hAnsi="Arial" w:cs="Arial"/>
                <w:bCs/>
                <w:color w:val="000000"/>
                <w:kern w:val="0"/>
                <w:szCs w:val="21"/>
              </w:rPr>
              <w:t>3.研发/中控/生产/产品DI管控策略和资源配置优先原则；</w:t>
            </w:r>
          </w:p>
          <w:p>
            <w:pPr>
              <w:widowControl/>
              <w:jc w:val="left"/>
              <w:rPr>
                <w:rFonts w:ascii="Arial" w:hAnsi="Arial" w:cs="Arial"/>
                <w:bCs/>
                <w:color w:val="000000"/>
                <w:kern w:val="0"/>
                <w:szCs w:val="21"/>
              </w:rPr>
            </w:pPr>
            <w:r>
              <w:rPr>
                <w:rFonts w:hint="eastAsia" w:ascii="Arial" w:hAnsi="Arial" w:cs="Arial"/>
                <w:bCs/>
                <w:color w:val="000000"/>
                <w:kern w:val="0"/>
                <w:szCs w:val="21"/>
              </w:rPr>
              <w:t>4.QC实验室检测与研发检测等共用风险与控制策略；</w:t>
            </w:r>
          </w:p>
          <w:p>
            <w:pPr>
              <w:widowControl/>
              <w:jc w:val="left"/>
              <w:rPr>
                <w:rFonts w:ascii="Arial" w:hAnsi="Arial" w:cs="Arial"/>
                <w:bCs/>
                <w:color w:val="000000"/>
                <w:kern w:val="0"/>
                <w:szCs w:val="21"/>
              </w:rPr>
            </w:pPr>
            <w:r>
              <w:rPr>
                <w:rFonts w:hint="eastAsia" w:ascii="Arial" w:hAnsi="Arial" w:cs="Arial"/>
                <w:bCs/>
                <w:color w:val="000000"/>
                <w:kern w:val="0"/>
                <w:szCs w:val="21"/>
              </w:rPr>
              <w:t>5.数据可靠性管控体系建设要点；</w:t>
            </w:r>
          </w:p>
          <w:p>
            <w:pPr>
              <w:widowControl/>
              <w:jc w:val="left"/>
              <w:rPr>
                <w:rFonts w:ascii="Arial" w:hAnsi="Arial" w:cs="Arial"/>
                <w:bCs/>
                <w:color w:val="000000"/>
                <w:kern w:val="0"/>
                <w:szCs w:val="21"/>
              </w:rPr>
            </w:pPr>
            <w:r>
              <w:rPr>
                <w:rFonts w:hint="eastAsia" w:ascii="Arial" w:hAnsi="Arial" w:cs="Arial"/>
                <w:bCs/>
                <w:color w:val="000000"/>
                <w:kern w:val="0"/>
                <w:szCs w:val="21"/>
              </w:rPr>
              <w:t>6.预防数据可靠性问题的硬件配置原则（服务器／单机版）</w:t>
            </w:r>
          </w:p>
          <w:p>
            <w:pPr>
              <w:widowControl/>
              <w:jc w:val="left"/>
              <w:rPr>
                <w:rFonts w:ascii="Arial" w:hAnsi="Arial" w:cs="Arial"/>
                <w:bCs/>
                <w:color w:val="000000"/>
                <w:kern w:val="0"/>
                <w:szCs w:val="21"/>
              </w:rPr>
            </w:pPr>
            <w:r>
              <w:rPr>
                <w:rFonts w:hint="eastAsia" w:ascii="Arial" w:hAnsi="Arial" w:cs="Arial"/>
                <w:bCs/>
                <w:color w:val="000000"/>
                <w:kern w:val="0"/>
                <w:szCs w:val="21"/>
              </w:rPr>
              <w:t>7.引入计算机化管理系统软件（例如SAP系统）的原则</w:t>
            </w:r>
          </w:p>
          <w:p>
            <w:pPr>
              <w:widowControl/>
              <w:jc w:val="left"/>
              <w:rPr>
                <w:rFonts w:ascii="Arial" w:hAnsi="Arial" w:cs="Arial"/>
                <w:bCs/>
                <w:color w:val="000000"/>
                <w:kern w:val="0"/>
                <w:szCs w:val="21"/>
              </w:rPr>
            </w:pPr>
            <w:r>
              <w:rPr>
                <w:rFonts w:hint="eastAsia" w:ascii="Arial" w:hAnsi="Arial" w:cs="Arial"/>
                <w:bCs/>
                <w:color w:val="000000"/>
                <w:kern w:val="0"/>
                <w:szCs w:val="21"/>
              </w:rPr>
              <w:t>8.编制计算机化系统管理清单的原则与策略  9.生产部门数据可靠性管控策略与要点10.QC实验室数据可靠性管控设计         11.研发注册中数据可靠性管控要点。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12" w:hRule="atLeast"/>
        </w:trPr>
        <w:tc>
          <w:tcPr>
            <w:tcW w:w="1675" w:type="dxa"/>
            <w:vAlign w:val="center"/>
          </w:tcPr>
          <w:p>
            <w:pPr>
              <w:spacing w:line="320" w:lineRule="exact"/>
              <w:jc w:val="center"/>
              <w:rPr>
                <w:rFonts w:ascii="宋体" w:hAnsi="宋体"/>
                <w:b/>
                <w:kern w:val="0"/>
                <w:sz w:val="24"/>
              </w:rPr>
            </w:pPr>
            <w:r>
              <w:rPr>
                <w:rFonts w:hint="eastAsia" w:ascii="宋体" w:hAnsi="宋体"/>
                <w:b/>
                <w:kern w:val="0"/>
                <w:sz w:val="24"/>
              </w:rPr>
              <w:t>11月27日</w:t>
            </w:r>
          </w:p>
          <w:p>
            <w:pPr>
              <w:spacing w:line="320" w:lineRule="exact"/>
              <w:jc w:val="center"/>
              <w:rPr>
                <w:rFonts w:ascii="宋体" w:hAnsi="宋体"/>
                <w:b/>
                <w:kern w:val="0"/>
                <w:sz w:val="24"/>
              </w:rPr>
            </w:pPr>
            <w:r>
              <w:rPr>
                <w:rFonts w:hint="eastAsia" w:ascii="宋体" w:hAnsi="宋体"/>
                <w:b/>
                <w:kern w:val="0"/>
                <w:sz w:val="24"/>
              </w:rPr>
              <w:t>（星期日）</w:t>
            </w:r>
          </w:p>
          <w:p>
            <w:pPr>
              <w:spacing w:line="320" w:lineRule="exact"/>
              <w:jc w:val="center"/>
              <w:rPr>
                <w:rFonts w:ascii="宋体" w:hAnsi="宋体"/>
                <w:b/>
                <w:kern w:val="0"/>
                <w:sz w:val="24"/>
              </w:rPr>
            </w:pPr>
            <w:r>
              <w:rPr>
                <w:rFonts w:hint="eastAsia" w:ascii="宋体" w:hAnsi="宋体"/>
                <w:b/>
                <w:kern w:val="0"/>
                <w:sz w:val="24"/>
              </w:rPr>
              <w:t>9:00-12:00</w:t>
            </w:r>
          </w:p>
          <w:p>
            <w:pPr>
              <w:spacing w:line="320" w:lineRule="exact"/>
              <w:jc w:val="center"/>
              <w:rPr>
                <w:rFonts w:ascii="宋体" w:hAnsi="宋体"/>
                <w:b/>
                <w:kern w:val="0"/>
                <w:sz w:val="24"/>
              </w:rPr>
            </w:pPr>
          </w:p>
          <w:p>
            <w:pPr>
              <w:spacing w:line="320" w:lineRule="exact"/>
              <w:rPr>
                <w:rFonts w:ascii="宋体" w:hAnsi="宋体"/>
                <w:b/>
                <w:kern w:val="0"/>
                <w:sz w:val="24"/>
              </w:rPr>
            </w:pPr>
          </w:p>
          <w:p>
            <w:pPr>
              <w:spacing w:line="320" w:lineRule="exact"/>
              <w:rPr>
                <w:rFonts w:ascii="宋体" w:hAnsi="宋体"/>
                <w:b/>
                <w:kern w:val="0"/>
                <w:sz w:val="24"/>
              </w:rPr>
            </w:pPr>
          </w:p>
          <w:p>
            <w:pPr>
              <w:spacing w:line="320" w:lineRule="exact"/>
              <w:rPr>
                <w:rFonts w:ascii="宋体" w:hAnsi="宋体"/>
                <w:b/>
                <w:kern w:val="0"/>
                <w:sz w:val="24"/>
              </w:rPr>
            </w:pPr>
          </w:p>
          <w:p>
            <w:pPr>
              <w:spacing w:line="320" w:lineRule="exact"/>
              <w:rPr>
                <w:rFonts w:ascii="宋体" w:hAnsi="宋体"/>
                <w:b/>
                <w:kern w:val="0"/>
                <w:sz w:val="24"/>
              </w:rPr>
            </w:pPr>
          </w:p>
          <w:p>
            <w:pPr>
              <w:spacing w:line="320" w:lineRule="exact"/>
              <w:rPr>
                <w:rFonts w:ascii="宋体" w:hAnsi="宋体"/>
                <w:b/>
                <w:kern w:val="0"/>
                <w:sz w:val="24"/>
              </w:rPr>
            </w:pPr>
            <w:r>
              <w:rPr>
                <w:rFonts w:hint="eastAsia" w:ascii="宋体" w:hAnsi="宋体"/>
                <w:b/>
                <w:kern w:val="0"/>
                <w:sz w:val="24"/>
              </w:rPr>
              <w:t>14:00-17:00</w:t>
            </w:r>
          </w:p>
          <w:p>
            <w:pPr>
              <w:spacing w:line="320" w:lineRule="exact"/>
              <w:jc w:val="center"/>
              <w:rPr>
                <w:rFonts w:ascii="宋体" w:hAnsi="宋体"/>
                <w:b/>
                <w:kern w:val="0"/>
                <w:sz w:val="24"/>
              </w:rPr>
            </w:pPr>
          </w:p>
        </w:tc>
        <w:tc>
          <w:tcPr>
            <w:tcW w:w="8164" w:type="dxa"/>
            <w:vAlign w:val="center"/>
          </w:tcPr>
          <w:p>
            <w:pPr>
              <w:widowControl/>
              <w:jc w:val="left"/>
              <w:rPr>
                <w:rFonts w:ascii="Arial" w:hAnsi="Arial" w:cs="Arial"/>
                <w:b/>
                <w:bCs/>
                <w:color w:val="000000"/>
                <w:kern w:val="0"/>
                <w:sz w:val="24"/>
              </w:rPr>
            </w:pPr>
            <w:r>
              <w:rPr>
                <w:rFonts w:hint="eastAsia" w:ascii="Arial" w:hAnsi="Arial" w:cs="Arial"/>
                <w:b/>
                <w:bCs/>
                <w:color w:val="000000"/>
                <w:kern w:val="0"/>
                <w:sz w:val="24"/>
              </w:rPr>
              <w:t>三、数据可靠性的预防与管理</w:t>
            </w:r>
          </w:p>
          <w:p>
            <w:pPr>
              <w:widowControl/>
              <w:jc w:val="left"/>
              <w:rPr>
                <w:rFonts w:ascii="Arial" w:hAnsi="Arial" w:cs="Arial"/>
                <w:bCs/>
                <w:color w:val="000000"/>
                <w:kern w:val="0"/>
                <w:szCs w:val="21"/>
              </w:rPr>
            </w:pPr>
            <w:r>
              <w:rPr>
                <w:rFonts w:hint="eastAsia" w:ascii="Arial" w:hAnsi="Arial" w:cs="Arial"/>
                <w:bCs/>
                <w:color w:val="000000"/>
                <w:kern w:val="0"/>
                <w:szCs w:val="21"/>
              </w:rPr>
              <w:t>1.数据可靠性管控策略与基本要求；   2.计算机化系统的管理核心内容与关键点控制；</w:t>
            </w:r>
          </w:p>
          <w:p>
            <w:pPr>
              <w:widowControl/>
              <w:jc w:val="left"/>
              <w:rPr>
                <w:rFonts w:ascii="Arial" w:hAnsi="Arial" w:cs="Arial"/>
                <w:bCs/>
                <w:color w:val="000000"/>
                <w:kern w:val="0"/>
                <w:szCs w:val="21"/>
              </w:rPr>
            </w:pPr>
            <w:r>
              <w:rPr>
                <w:rFonts w:hint="eastAsia" w:ascii="Arial" w:hAnsi="Arial" w:cs="Arial"/>
                <w:bCs/>
                <w:color w:val="000000"/>
                <w:kern w:val="0"/>
                <w:szCs w:val="21"/>
              </w:rPr>
              <w:t>3.FDA对数据可靠性和cGMP合规指南草案的关键点分析</w:t>
            </w:r>
          </w:p>
          <w:p>
            <w:pPr>
              <w:widowControl/>
              <w:jc w:val="left"/>
              <w:rPr>
                <w:rFonts w:ascii="Arial" w:hAnsi="Arial" w:cs="Arial"/>
                <w:bCs/>
                <w:color w:val="000000"/>
                <w:kern w:val="0"/>
                <w:szCs w:val="21"/>
              </w:rPr>
            </w:pPr>
            <w:r>
              <w:rPr>
                <w:rFonts w:hint="eastAsia" w:ascii="Arial" w:hAnsi="Arial" w:cs="Arial"/>
                <w:bCs/>
                <w:color w:val="000000"/>
                <w:kern w:val="0"/>
                <w:szCs w:val="21"/>
              </w:rPr>
              <w:t>4.欧盟/WHO对数据可靠性治理的关键点分析；</w:t>
            </w:r>
          </w:p>
          <w:p>
            <w:pPr>
              <w:widowControl/>
              <w:jc w:val="left"/>
              <w:rPr>
                <w:rFonts w:ascii="Arial" w:hAnsi="Arial" w:cs="Arial"/>
                <w:bCs/>
                <w:color w:val="000000"/>
                <w:kern w:val="0"/>
                <w:szCs w:val="21"/>
              </w:rPr>
            </w:pPr>
            <w:r>
              <w:rPr>
                <w:rFonts w:hint="eastAsia" w:ascii="Arial" w:hAnsi="Arial" w:cs="Arial"/>
                <w:bCs/>
                <w:color w:val="000000"/>
                <w:kern w:val="0"/>
                <w:szCs w:val="21"/>
              </w:rPr>
              <w:t>5.PDA-数据可靠性行为守则要素的关键点分析；</w:t>
            </w:r>
          </w:p>
          <w:p>
            <w:pPr>
              <w:widowControl/>
              <w:jc w:val="left"/>
              <w:rPr>
                <w:rFonts w:ascii="Arial" w:hAnsi="Arial" w:cs="Arial"/>
                <w:bCs/>
                <w:color w:val="000000"/>
                <w:kern w:val="0"/>
                <w:szCs w:val="21"/>
              </w:rPr>
            </w:pPr>
            <w:r>
              <w:rPr>
                <w:rFonts w:hint="eastAsia" w:ascii="Arial" w:hAnsi="Arial" w:cs="Arial"/>
                <w:bCs/>
                <w:color w:val="000000"/>
                <w:kern w:val="0"/>
                <w:szCs w:val="21"/>
              </w:rPr>
              <w:t>6.数据可靠性管理的有效技术措施与管理措施；</w:t>
            </w:r>
          </w:p>
          <w:p>
            <w:pPr>
              <w:widowControl/>
              <w:jc w:val="left"/>
              <w:rPr>
                <w:rFonts w:ascii="Arial" w:hAnsi="Arial" w:cs="Arial"/>
                <w:bCs/>
                <w:color w:val="000000"/>
                <w:kern w:val="0"/>
                <w:szCs w:val="21"/>
              </w:rPr>
            </w:pPr>
            <w:r>
              <w:rPr>
                <w:rFonts w:hint="eastAsia" w:ascii="Arial" w:hAnsi="Arial" w:cs="Arial"/>
                <w:bCs/>
                <w:color w:val="000000"/>
                <w:kern w:val="0"/>
                <w:szCs w:val="21"/>
              </w:rPr>
              <w:t>7.确保数据可靠性治理的有效培训与关键点控制；</w:t>
            </w:r>
          </w:p>
          <w:p>
            <w:pPr>
              <w:widowControl/>
              <w:jc w:val="left"/>
              <w:rPr>
                <w:rFonts w:ascii="Arial" w:hAnsi="Arial" w:cs="Arial"/>
                <w:bCs/>
                <w:color w:val="000000"/>
                <w:kern w:val="0"/>
                <w:szCs w:val="21"/>
              </w:rPr>
            </w:pPr>
            <w:r>
              <w:rPr>
                <w:rFonts w:hint="eastAsia" w:ascii="Arial" w:hAnsi="Arial" w:cs="Arial"/>
                <w:bCs/>
                <w:color w:val="000000"/>
                <w:kern w:val="0"/>
                <w:szCs w:val="21"/>
              </w:rPr>
              <w:t>8.如何对审计跟踪进行审核与管理；  9.FDA对整治DI问题的期望；</w:t>
            </w:r>
          </w:p>
          <w:p>
            <w:pPr>
              <w:widowControl/>
              <w:jc w:val="left"/>
              <w:rPr>
                <w:rFonts w:ascii="Arial" w:hAnsi="Arial" w:cs="Arial"/>
                <w:bCs/>
                <w:color w:val="000000"/>
                <w:kern w:val="0"/>
                <w:szCs w:val="21"/>
              </w:rPr>
            </w:pPr>
            <w:r>
              <w:rPr>
                <w:rFonts w:hint="eastAsia" w:ascii="Arial" w:hAnsi="Arial" w:cs="Arial"/>
                <w:bCs/>
                <w:color w:val="000000"/>
                <w:kern w:val="0"/>
                <w:szCs w:val="21"/>
              </w:rPr>
              <w:t>10.全球监管部门对数据可靠性问题的持续改进思考。</w:t>
            </w:r>
          </w:p>
          <w:p>
            <w:pPr>
              <w:widowControl/>
              <w:jc w:val="left"/>
              <w:rPr>
                <w:rFonts w:ascii="Arial" w:hAnsi="Arial" w:cs="Arial"/>
                <w:b/>
                <w:bCs/>
                <w:color w:val="000000"/>
                <w:kern w:val="0"/>
                <w:sz w:val="24"/>
              </w:rPr>
            </w:pPr>
            <w:r>
              <w:rPr>
                <w:rFonts w:hint="eastAsia" w:ascii="Arial" w:hAnsi="Arial" w:cs="Arial"/>
                <w:b/>
                <w:bCs/>
                <w:color w:val="000000"/>
                <w:kern w:val="0"/>
                <w:sz w:val="24"/>
              </w:rPr>
              <w:t>四、最新数据可靠性检查与审计技能</w:t>
            </w:r>
          </w:p>
          <w:p>
            <w:pPr>
              <w:widowControl/>
              <w:jc w:val="left"/>
              <w:rPr>
                <w:rFonts w:ascii="Arial" w:hAnsi="Arial" w:cs="Arial"/>
                <w:bCs/>
                <w:color w:val="000000"/>
                <w:kern w:val="0"/>
                <w:szCs w:val="21"/>
              </w:rPr>
            </w:pPr>
            <w:r>
              <w:rPr>
                <w:rFonts w:hint="eastAsia" w:ascii="Arial" w:hAnsi="Arial" w:cs="Arial"/>
                <w:bCs/>
                <w:color w:val="000000"/>
                <w:kern w:val="0"/>
                <w:szCs w:val="21"/>
              </w:rPr>
              <w:t>1.FDA/欧盟对数据可靠性检查的特点、关注点分析；</w:t>
            </w:r>
          </w:p>
          <w:p>
            <w:pPr>
              <w:widowControl/>
              <w:jc w:val="left"/>
              <w:rPr>
                <w:rFonts w:ascii="Arial" w:hAnsi="Arial" w:cs="Arial"/>
                <w:bCs/>
                <w:color w:val="000000"/>
                <w:kern w:val="0"/>
                <w:szCs w:val="21"/>
              </w:rPr>
            </w:pPr>
            <w:r>
              <w:rPr>
                <w:rFonts w:hint="eastAsia" w:ascii="Arial" w:hAnsi="Arial" w:cs="Arial"/>
                <w:bCs/>
                <w:color w:val="000000"/>
                <w:kern w:val="0"/>
                <w:szCs w:val="21"/>
              </w:rPr>
              <w:t>2.CFDA对数据可靠性检查的范围、特点和关注点分析；</w:t>
            </w:r>
          </w:p>
          <w:p>
            <w:pPr>
              <w:widowControl/>
              <w:jc w:val="left"/>
              <w:rPr>
                <w:rFonts w:ascii="Arial" w:hAnsi="Arial" w:cs="Arial"/>
                <w:bCs/>
                <w:color w:val="000000"/>
                <w:kern w:val="0"/>
                <w:szCs w:val="21"/>
              </w:rPr>
            </w:pPr>
            <w:r>
              <w:rPr>
                <w:rFonts w:hint="eastAsia" w:ascii="Arial" w:hAnsi="Arial" w:cs="Arial"/>
                <w:bCs/>
                <w:color w:val="000000"/>
                <w:kern w:val="0"/>
                <w:szCs w:val="21"/>
              </w:rPr>
              <w:t>3.数据可靠性自查清单与举例（实例60个）</w:t>
            </w:r>
          </w:p>
          <w:p>
            <w:pPr>
              <w:widowControl/>
              <w:jc w:val="left"/>
              <w:rPr>
                <w:rFonts w:ascii="Arial" w:hAnsi="Arial" w:cs="Arial"/>
                <w:bCs/>
                <w:color w:val="000000"/>
                <w:kern w:val="0"/>
                <w:szCs w:val="21"/>
              </w:rPr>
            </w:pPr>
            <w:r>
              <w:rPr>
                <w:rFonts w:hint="eastAsia" w:ascii="Arial" w:hAnsi="Arial" w:cs="Arial"/>
                <w:bCs/>
                <w:color w:val="000000"/>
                <w:kern w:val="0"/>
                <w:szCs w:val="21"/>
              </w:rPr>
              <w:t>4.各种仪器的审计跟踪类型与共同特点      5.HPLC和GC的数据可靠性审计</w:t>
            </w:r>
          </w:p>
          <w:p>
            <w:pPr>
              <w:widowControl/>
              <w:jc w:val="left"/>
              <w:rPr>
                <w:rFonts w:ascii="Arial" w:hAnsi="Arial" w:cs="Arial"/>
                <w:bCs/>
                <w:color w:val="000000"/>
                <w:kern w:val="0"/>
                <w:szCs w:val="21"/>
              </w:rPr>
            </w:pPr>
            <w:r>
              <w:rPr>
                <w:rFonts w:hint="eastAsia" w:ascii="Arial" w:hAnsi="Arial" w:cs="Arial"/>
                <w:bCs/>
                <w:color w:val="000000"/>
                <w:kern w:val="0"/>
                <w:szCs w:val="21"/>
              </w:rPr>
              <w:t>6.UV、IR、水分仪、TOC等数据可靠性审计</w:t>
            </w:r>
          </w:p>
          <w:p>
            <w:pPr>
              <w:widowControl/>
              <w:jc w:val="left"/>
              <w:rPr>
                <w:rFonts w:ascii="Arial" w:hAnsi="Arial" w:cs="Arial"/>
                <w:bCs/>
                <w:color w:val="000000"/>
                <w:kern w:val="0"/>
                <w:sz w:val="24"/>
              </w:rPr>
            </w:pPr>
            <w:r>
              <w:rPr>
                <w:rFonts w:hint="eastAsia" w:ascii="Arial" w:hAnsi="Arial" w:cs="Arial"/>
                <w:bCs/>
                <w:color w:val="000000"/>
                <w:kern w:val="0"/>
                <w:szCs w:val="21"/>
              </w:rPr>
              <w:t>7.药品生产过程中的数据可靠性检查重点；  8.研发与注册的数据可靠性检查重点。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5" w:type="dxa"/>
            <w:vAlign w:val="center"/>
          </w:tcPr>
          <w:p>
            <w:pPr>
              <w:rPr>
                <w:rFonts w:ascii="Verdana" w:hAnsi="Verdana"/>
                <w:color w:val="333333"/>
                <w:sz w:val="24"/>
                <w:shd w:val="clear" w:color="auto" w:fill="FFFFFF"/>
              </w:rPr>
            </w:pPr>
            <w:r>
              <w:rPr>
                <w:rFonts w:hint="eastAsia" w:ascii="Verdana" w:hAnsi="Verdana"/>
                <w:b/>
                <w:bCs/>
                <w:color w:val="333333"/>
                <w:sz w:val="24"/>
                <w:shd w:val="clear" w:color="auto" w:fill="FFFFFF"/>
              </w:rPr>
              <w:t>主讲人及特点</w:t>
            </w:r>
          </w:p>
        </w:tc>
        <w:tc>
          <w:tcPr>
            <w:tcW w:w="8164" w:type="dxa"/>
            <w:vAlign w:val="center"/>
          </w:tcPr>
          <w:p>
            <w:pPr>
              <w:widowControl/>
              <w:jc w:val="left"/>
              <w:rPr>
                <w:rFonts w:ascii="Arial" w:hAnsi="Arial" w:cs="Arial"/>
                <w:b/>
                <w:bCs/>
                <w:color w:val="000000"/>
                <w:kern w:val="0"/>
                <w:sz w:val="24"/>
              </w:rPr>
            </w:pPr>
            <w:r>
              <w:rPr>
                <w:rFonts w:hint="eastAsia" w:ascii="Arial" w:hAnsi="Arial" w:cs="Arial"/>
                <w:b/>
                <w:bCs/>
                <w:color w:val="000000"/>
                <w:kern w:val="0"/>
                <w:sz w:val="24"/>
              </w:rPr>
              <w:t>李老师 ,曾在欧美知名药企任职高管，现任国内某知名药业高管，CFDA及本协会特邀培训专家；中国GMP指南编写人员；熟悉欧美制药质量法规，具有丰富的制药实践经验；经历过大量的FDA/欧盟/CFDA等检查。</w:t>
            </w:r>
          </w:p>
          <w:p>
            <w:pPr>
              <w:widowControl/>
              <w:jc w:val="left"/>
              <w:rPr>
                <w:rFonts w:ascii="Arial" w:hAnsi="Arial" w:cs="Arial"/>
                <w:b/>
                <w:bCs/>
                <w:color w:val="000000"/>
                <w:kern w:val="0"/>
                <w:sz w:val="24"/>
              </w:rPr>
            </w:pPr>
            <w:r>
              <w:rPr>
                <w:rFonts w:hint="eastAsia" w:ascii="Arial" w:hAnsi="Arial" w:cs="Arial"/>
                <w:b/>
                <w:bCs/>
                <w:color w:val="000000"/>
                <w:kern w:val="0"/>
                <w:sz w:val="24"/>
              </w:rPr>
              <w:t xml:space="preserve">    课程设计与培训方式独特。包括理论讲解与理解提升；条理清晰与通俗易懂；明确重点与注重实用；案例分享与学员互动。培训过程随时接受学员提问；答疑即有高度又有深度，即考虑法规符合性又考虑实践的可操作性</w:t>
            </w:r>
          </w:p>
        </w:tc>
      </w:tr>
    </w:tbl>
    <w:p>
      <w:pPr>
        <w:spacing w:line="500" w:lineRule="exact"/>
        <w:rPr>
          <w:rFonts w:ascii="黑体" w:eastAsia="黑体"/>
          <w:b/>
          <w:sz w:val="30"/>
          <w:szCs w:val="30"/>
        </w:rPr>
      </w:pPr>
      <w:r>
        <w:rPr>
          <w:rFonts w:hint="eastAsia" w:ascii="仿宋_GB2312" w:hAnsi="仿宋_GB2312" w:eastAsia="仿宋_GB2312" w:cs="仿宋_GB2312"/>
          <w:b/>
          <w:sz w:val="28"/>
        </w:rPr>
        <w:t>附件一：</w:t>
      </w:r>
      <w:r>
        <w:rPr>
          <w:rFonts w:hint="eastAsia" w:ascii="黑体" w:eastAsia="黑体"/>
          <w:b/>
          <w:sz w:val="28"/>
        </w:rPr>
        <w:t xml:space="preserve">                  </w:t>
      </w:r>
      <w:r>
        <w:rPr>
          <w:rFonts w:hint="eastAsia" w:ascii="黑体" w:eastAsia="黑体"/>
          <w:b/>
          <w:sz w:val="30"/>
          <w:szCs w:val="30"/>
        </w:rPr>
        <w:t>课 程 安 排 表</w:t>
      </w:r>
    </w:p>
    <w:p>
      <w:pPr>
        <w:pStyle w:val="2"/>
        <w:tabs>
          <w:tab w:val="left" w:pos="1440"/>
          <w:tab w:val="left" w:pos="2100"/>
        </w:tabs>
        <w:spacing w:line="470" w:lineRule="exact"/>
        <w:ind w:firstLine="0"/>
        <w:rPr>
          <w:rFonts w:hAnsi="宋体"/>
          <w:b w:val="0"/>
          <w:szCs w:val="28"/>
        </w:rPr>
      </w:pPr>
      <w:r>
        <w:t>附件二：</w:t>
      </w:r>
    </w:p>
    <w:p>
      <w:pPr>
        <w:spacing w:line="520" w:lineRule="exact"/>
        <w:rPr>
          <w:rFonts w:ascii="仿宋_GB2312" w:eastAsia="仿宋_GB2312"/>
          <w:b/>
          <w:sz w:val="36"/>
          <w:szCs w:val="36"/>
        </w:rPr>
      </w:pPr>
      <w:r>
        <w:rPr>
          <w:rFonts w:hint="eastAsia" w:ascii="仿宋_GB2312" w:eastAsia="仿宋_GB2312"/>
          <w:b/>
          <w:sz w:val="36"/>
          <w:szCs w:val="36"/>
        </w:rPr>
        <w:t xml:space="preserve">  “数据可靠性管控策略与有效预防实用措施”高级培训班</w:t>
      </w:r>
    </w:p>
    <w:p>
      <w:pPr>
        <w:spacing w:line="520" w:lineRule="exact"/>
        <w:ind w:firstLine="706" w:firstLineChars="196"/>
        <w:rPr>
          <w:rFonts w:ascii="仿宋_GB2312" w:eastAsia="仿宋_GB2312"/>
          <w:b/>
          <w:sz w:val="36"/>
          <w:szCs w:val="36"/>
        </w:rPr>
      </w:pPr>
      <w:r>
        <w:rPr>
          <w:rFonts w:hint="eastAsia" w:ascii="仿宋_GB2312" w:eastAsia="仿宋_GB2312"/>
          <w:b/>
          <w:sz w:val="36"/>
          <w:szCs w:val="36"/>
        </w:rPr>
        <w:t xml:space="preserve">                   回执表</w:t>
      </w:r>
    </w:p>
    <w:p>
      <w:pPr>
        <w:ind w:firstLine="5760" w:firstLineChars="2400"/>
        <w:rPr>
          <w:rFonts w:ascii="仿宋_GB2312" w:hAnsi="宋体" w:eastAsia="仿宋_GB2312"/>
          <w:b/>
          <w:bCs/>
          <w:sz w:val="30"/>
          <w:szCs w:val="28"/>
        </w:rPr>
      </w:pPr>
      <w:r>
        <w:rPr>
          <w:rFonts w:eastAsia="仿宋_GB2312"/>
          <w:b/>
          <w:sz w:val="24"/>
        </w:rPr>
        <w:t>因</w:t>
      </w:r>
      <w:r>
        <w:rPr>
          <w:rFonts w:hint="eastAsia" w:eastAsia="仿宋_GB2312"/>
          <w:b/>
          <w:sz w:val="24"/>
        </w:rPr>
        <w:t>参会</w:t>
      </w:r>
      <w:r>
        <w:rPr>
          <w:rFonts w:eastAsia="仿宋_GB2312"/>
          <w:b/>
          <w:sz w:val="24"/>
        </w:rPr>
        <w:t>名额</w:t>
      </w:r>
      <w:r>
        <w:rPr>
          <w:rFonts w:hint="eastAsia" w:eastAsia="仿宋_GB2312"/>
          <w:b/>
          <w:sz w:val="24"/>
        </w:rPr>
        <w:t>有</w:t>
      </w:r>
      <w:r>
        <w:rPr>
          <w:rFonts w:eastAsia="仿宋_GB2312"/>
          <w:b/>
          <w:sz w:val="24"/>
        </w:rPr>
        <w:t>限</w:t>
      </w:r>
      <w:r>
        <w:rPr>
          <w:rFonts w:hint="eastAsia" w:eastAsia="仿宋_GB2312"/>
          <w:b/>
          <w:sz w:val="24"/>
        </w:rPr>
        <w:t>请</w:t>
      </w:r>
      <w:r>
        <w:rPr>
          <w:rFonts w:eastAsia="仿宋_GB2312"/>
          <w:b/>
          <w:sz w:val="24"/>
        </w:rPr>
        <w:t>尽快</w:t>
      </w:r>
      <w:r>
        <w:rPr>
          <w:rFonts w:hint="eastAsia" w:eastAsia="仿宋_GB2312"/>
          <w:b/>
          <w:sz w:val="24"/>
        </w:rPr>
        <w:t>回执</w:t>
      </w:r>
      <w:r>
        <w:rPr>
          <w:rFonts w:hint="eastAsia" w:hAnsi="宋体"/>
          <w:b/>
          <w:sz w:val="32"/>
          <w:szCs w:val="32"/>
        </w:rPr>
        <w:t xml:space="preserve"> </w:t>
      </w:r>
    </w:p>
    <w:tbl>
      <w:tblPr>
        <w:tblStyle w:val="7"/>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仿宋_GB2312" w:hAnsi="宋体" w:eastAsia="仿宋_GB2312"/>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地</w:t>
            </w:r>
            <w:r>
              <w:rPr>
                <w:rFonts w:ascii="仿宋_GB2312" w:hAnsi="宋体" w:eastAsia="仿宋_GB2312"/>
                <w:sz w:val="28"/>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宋体" w:eastAsia="仿宋_GB2312"/>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邮</w:t>
            </w:r>
            <w:r>
              <w:rPr>
                <w:rFonts w:ascii="仿宋_GB2312" w:hAnsi="宋体" w:eastAsia="仿宋_GB2312"/>
                <w:sz w:val="28"/>
              </w:rPr>
              <w:t xml:space="preserve">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姓</w:t>
            </w:r>
            <w:r>
              <w:rPr>
                <w:rFonts w:ascii="仿宋_GB2312" w:hAnsi="宋体" w:eastAsia="仿宋_GB2312"/>
                <w:sz w:val="28"/>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电 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ascii="Arial" w:hAnsi="Arial" w:cs="Arial"/>
                <w:sz w:val="28"/>
              </w:rPr>
            </w:pPr>
            <w:r>
              <w:rPr>
                <w:rFonts w:hint="eastAsia" w:ascii="仿宋_GB2312" w:hAnsi="宋体" w:eastAsia="仿宋_GB2312"/>
                <w:sz w:val="28"/>
              </w:rPr>
              <w:t>传真/</w:t>
            </w:r>
            <w:r>
              <w:rPr>
                <w:rFonts w:ascii="Arial" w:hAnsi="Arial" w:eastAsia="仿宋_GB2312" w:cs="Arial"/>
                <w:sz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手</w:t>
            </w:r>
            <w:r>
              <w:rPr>
                <w:rFonts w:ascii="仿宋_GB2312" w:hAnsi="宋体" w:eastAsia="仿宋_GB2312"/>
                <w:sz w:val="28"/>
              </w:rPr>
              <w:t xml:space="preserve">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b/>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r>
              <w:rPr>
                <w:rFonts w:hint="eastAsia" w:ascii="仿宋_GB2312" w:hAnsi="宋体" w:eastAsia="仿宋_GB2312"/>
                <w:sz w:val="28"/>
              </w:rPr>
              <w:t>住宿是否需要单间：是</w:t>
            </w:r>
            <w:r>
              <w:rPr>
                <w:rFonts w:hint="eastAsia" w:ascii="仿宋_GB2312" w:hAnsi="宋体" w:eastAsia="仿宋_GB2312"/>
                <w:sz w:val="32"/>
                <w:szCs w:val="32"/>
              </w:rPr>
              <w:t xml:space="preserve">○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r>
              <w:rPr>
                <w:rFonts w:hint="eastAsia" w:ascii="仿宋_GB2312" w:hAnsi="宋体" w:eastAsia="仿宋_GB2312"/>
                <w:sz w:val="28"/>
              </w:rPr>
              <w:t>入住时间：</w:t>
            </w:r>
            <w:r>
              <w:rPr>
                <w:rFonts w:hint="eastAsia" w:ascii="仿宋_GB2312" w:hAnsi="宋体" w:eastAsia="仿宋_GB2312"/>
                <w:sz w:val="28"/>
                <w:u w:val="single"/>
              </w:rPr>
              <w:t xml:space="preserve">     </w:t>
            </w:r>
            <w:r>
              <w:rPr>
                <w:rFonts w:hint="eastAsia" w:ascii="仿宋_GB2312" w:hAnsi="宋体" w:eastAsia="仿宋_GB2312"/>
                <w:sz w:val="28"/>
              </w:rPr>
              <w:t>日</w:t>
            </w:r>
            <w:r>
              <w:rPr>
                <w:rFonts w:hint="eastAsia" w:ascii="仿宋_GB2312" w:hAnsi="宋体" w:eastAsia="仿宋_GB2312"/>
                <w:sz w:val="28"/>
                <w:u w:val="single"/>
              </w:rPr>
              <w:t xml:space="preserve">    </w:t>
            </w:r>
            <w:r>
              <w:rPr>
                <w:rFonts w:hint="eastAsia" w:ascii="仿宋_GB2312" w:hAnsi="宋体" w:eastAsia="仿宋_GB2312"/>
                <w:sz w:val="28"/>
              </w:rPr>
              <w:t>至</w:t>
            </w:r>
            <w:r>
              <w:rPr>
                <w:rFonts w:hint="eastAsia" w:ascii="仿宋_GB2312" w:hAnsi="宋体" w:eastAsia="仿宋_GB2312"/>
                <w:sz w:val="28"/>
                <w:u w:val="single"/>
              </w:rPr>
              <w:t xml:space="preserve">     </w:t>
            </w:r>
            <w:r>
              <w:rPr>
                <w:rFonts w:hint="eastAsia" w:ascii="仿宋_GB2312" w:hAnsi="宋体" w:eastAsia="仿宋_GB2312"/>
                <w:sz w:val="28"/>
              </w:rPr>
              <w:t xml:space="preserve">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pStyle w:val="2"/>
              <w:spacing w:line="440" w:lineRule="exact"/>
              <w:ind w:firstLine="0"/>
              <w:rPr>
                <w:rFonts w:asciiTheme="minorEastAsia" w:hAnsiTheme="minorEastAsia" w:eastAsiaTheme="minorEastAsia"/>
                <w:bCs/>
                <w:szCs w:val="28"/>
              </w:rPr>
            </w:pPr>
            <w:r>
              <w:rPr>
                <w:rFonts w:hint="eastAsia" w:asciiTheme="minorEastAsia" w:hAnsiTheme="minorEastAsia" w:eastAsiaTheme="minorEastAsia"/>
                <w:bCs/>
                <w:szCs w:val="28"/>
              </w:rPr>
              <w:t>1.</w:t>
            </w:r>
            <w:r>
              <w:rPr>
                <w:rFonts w:asciiTheme="minorEastAsia" w:hAnsiTheme="minorEastAsia" w:eastAsiaTheme="minorEastAsia"/>
                <w:bCs/>
                <w:szCs w:val="28"/>
              </w:rPr>
              <w:t>会议时间：2016年</w:t>
            </w:r>
            <w:r>
              <w:rPr>
                <w:rFonts w:hint="eastAsia" w:asciiTheme="minorEastAsia" w:hAnsiTheme="minorEastAsia" w:eastAsiaTheme="minorEastAsia"/>
                <w:bCs/>
                <w:szCs w:val="28"/>
              </w:rPr>
              <w:t>11</w:t>
            </w:r>
            <w:r>
              <w:rPr>
                <w:rFonts w:asciiTheme="minorEastAsia" w:hAnsiTheme="minorEastAsia" w:eastAsiaTheme="minorEastAsia"/>
                <w:bCs/>
                <w:szCs w:val="28"/>
              </w:rPr>
              <w:t>月</w:t>
            </w:r>
            <w:r>
              <w:rPr>
                <w:rFonts w:hint="eastAsia" w:asciiTheme="minorEastAsia" w:hAnsiTheme="minorEastAsia" w:eastAsiaTheme="minorEastAsia"/>
                <w:bCs/>
                <w:szCs w:val="28"/>
              </w:rPr>
              <w:t>25</w:t>
            </w:r>
            <w:r>
              <w:rPr>
                <w:rFonts w:asciiTheme="minorEastAsia" w:hAnsiTheme="minorEastAsia" w:eastAsiaTheme="minorEastAsia"/>
                <w:bCs/>
                <w:szCs w:val="28"/>
              </w:rPr>
              <w:t>-</w:t>
            </w:r>
            <w:r>
              <w:rPr>
                <w:rFonts w:hint="eastAsia" w:asciiTheme="minorEastAsia" w:hAnsiTheme="minorEastAsia" w:eastAsiaTheme="minorEastAsia"/>
                <w:bCs/>
                <w:szCs w:val="28"/>
              </w:rPr>
              <w:t>27</w:t>
            </w:r>
            <w:r>
              <w:rPr>
                <w:rFonts w:asciiTheme="minorEastAsia" w:hAnsiTheme="minorEastAsia" w:eastAsiaTheme="minorEastAsia"/>
                <w:bCs/>
                <w:szCs w:val="28"/>
              </w:rPr>
              <w:t xml:space="preserve">日 </w:t>
            </w:r>
            <w:r>
              <w:rPr>
                <w:rFonts w:hint="eastAsia" w:asciiTheme="minorEastAsia" w:hAnsiTheme="minorEastAsia" w:eastAsiaTheme="minorEastAsia"/>
                <w:bCs/>
                <w:szCs w:val="28"/>
              </w:rPr>
              <w:t xml:space="preserve">  </w:t>
            </w:r>
            <w:r>
              <w:rPr>
                <w:rFonts w:asciiTheme="minorEastAsia" w:hAnsiTheme="minorEastAsia" w:eastAsiaTheme="minorEastAsia"/>
                <w:bCs/>
                <w:szCs w:val="28"/>
              </w:rPr>
              <w:t>(</w:t>
            </w:r>
            <w:r>
              <w:rPr>
                <w:rFonts w:hint="eastAsia" w:asciiTheme="minorEastAsia" w:hAnsiTheme="minorEastAsia" w:eastAsiaTheme="minorEastAsia"/>
                <w:bCs/>
                <w:szCs w:val="28"/>
              </w:rPr>
              <w:t>25</w:t>
            </w:r>
            <w:r>
              <w:rPr>
                <w:rFonts w:asciiTheme="minorEastAsia" w:hAnsiTheme="minorEastAsia" w:eastAsiaTheme="minorEastAsia"/>
                <w:bCs/>
                <w:szCs w:val="28"/>
              </w:rPr>
              <w:t>日全天报到)</w:t>
            </w:r>
          </w:p>
          <w:p>
            <w:pPr>
              <w:pStyle w:val="2"/>
              <w:spacing w:line="440" w:lineRule="exact"/>
              <w:rPr>
                <w:rFonts w:asciiTheme="minorEastAsia" w:hAnsiTheme="minorEastAsia" w:eastAsiaTheme="minorEastAsia"/>
                <w:bCs/>
                <w:szCs w:val="28"/>
              </w:rPr>
            </w:pPr>
            <w:r>
              <w:rPr>
                <w:rFonts w:hint="eastAsia" w:asciiTheme="minorEastAsia" w:hAnsiTheme="minorEastAsia" w:eastAsiaTheme="minorEastAsia"/>
                <w:bCs/>
                <w:szCs w:val="28"/>
              </w:rPr>
              <w:t xml:space="preserve">  </w:t>
            </w:r>
            <w:r>
              <w:rPr>
                <w:rFonts w:asciiTheme="minorEastAsia" w:hAnsiTheme="minorEastAsia" w:eastAsiaTheme="minorEastAsia"/>
                <w:bCs/>
                <w:szCs w:val="28"/>
              </w:rPr>
              <w:t>报到地点：</w:t>
            </w:r>
            <w:r>
              <w:rPr>
                <w:rFonts w:hint="eastAsia" w:asciiTheme="minorEastAsia" w:hAnsiTheme="minorEastAsia" w:eastAsiaTheme="minorEastAsia"/>
                <w:bCs/>
                <w:szCs w:val="28"/>
              </w:rPr>
              <w:t>济南</w:t>
            </w:r>
            <w:r>
              <w:rPr>
                <w:rFonts w:asciiTheme="minorEastAsia" w:hAnsiTheme="minorEastAsia" w:eastAsiaTheme="minorEastAsia"/>
                <w:bCs/>
                <w:szCs w:val="28"/>
              </w:rPr>
              <w:t>市  (具体地点直接发给报名人员)</w:t>
            </w:r>
            <w:r>
              <w:rPr>
                <w:rFonts w:hint="eastAsia" w:asciiTheme="minorEastAsia" w:hAnsiTheme="minorEastAsia" w:eastAsiaTheme="minorEastAsia"/>
                <w:bCs/>
                <w:szCs w:val="28"/>
              </w:rPr>
              <w:t xml:space="preserve"> （     ）</w:t>
            </w:r>
          </w:p>
          <w:p>
            <w:pPr>
              <w:pStyle w:val="2"/>
              <w:spacing w:line="440" w:lineRule="exact"/>
              <w:ind w:firstLine="0"/>
              <w:rPr>
                <w:rFonts w:asciiTheme="minorEastAsia" w:hAnsiTheme="minorEastAsia" w:eastAsiaTheme="minorEastAsia"/>
                <w:bCs/>
                <w:szCs w:val="28"/>
              </w:rPr>
            </w:pPr>
            <w:r>
              <w:rPr>
                <w:rFonts w:hint="eastAsia" w:asciiTheme="minorEastAsia" w:hAnsiTheme="minorEastAsia" w:eastAsiaTheme="minorEastAsia"/>
                <w:bCs/>
                <w:szCs w:val="28"/>
              </w:rPr>
              <w:t>2.</w:t>
            </w:r>
            <w:r>
              <w:rPr>
                <w:rFonts w:asciiTheme="minorEastAsia" w:hAnsiTheme="minorEastAsia" w:eastAsiaTheme="minorEastAsia"/>
                <w:bCs/>
                <w:szCs w:val="28"/>
              </w:rPr>
              <w:t>会议时间：2016年</w:t>
            </w:r>
            <w:r>
              <w:rPr>
                <w:rFonts w:hint="eastAsia" w:asciiTheme="minorEastAsia" w:hAnsiTheme="minorEastAsia" w:eastAsiaTheme="minorEastAsia"/>
                <w:bCs/>
                <w:szCs w:val="28"/>
              </w:rPr>
              <w:t>12</w:t>
            </w:r>
            <w:r>
              <w:rPr>
                <w:rFonts w:asciiTheme="minorEastAsia" w:hAnsiTheme="minorEastAsia" w:eastAsiaTheme="minorEastAsia"/>
                <w:bCs/>
                <w:szCs w:val="28"/>
              </w:rPr>
              <w:t>月</w:t>
            </w:r>
            <w:r>
              <w:rPr>
                <w:rFonts w:hint="eastAsia" w:asciiTheme="minorEastAsia" w:hAnsiTheme="minorEastAsia" w:eastAsiaTheme="minorEastAsia"/>
                <w:bCs/>
                <w:szCs w:val="28"/>
              </w:rPr>
              <w:t>9</w:t>
            </w:r>
            <w:r>
              <w:rPr>
                <w:rFonts w:asciiTheme="minorEastAsia" w:hAnsiTheme="minorEastAsia" w:eastAsiaTheme="minorEastAsia"/>
                <w:bCs/>
                <w:szCs w:val="28"/>
              </w:rPr>
              <w:t>-</w:t>
            </w:r>
            <w:r>
              <w:rPr>
                <w:rFonts w:hint="eastAsia" w:asciiTheme="minorEastAsia" w:hAnsiTheme="minorEastAsia" w:eastAsiaTheme="minorEastAsia"/>
                <w:bCs/>
                <w:szCs w:val="28"/>
              </w:rPr>
              <w:t>11</w:t>
            </w:r>
            <w:r>
              <w:rPr>
                <w:rFonts w:asciiTheme="minorEastAsia" w:hAnsiTheme="minorEastAsia" w:eastAsiaTheme="minorEastAsia"/>
                <w:bCs/>
                <w:szCs w:val="28"/>
              </w:rPr>
              <w:t xml:space="preserve">日 </w:t>
            </w:r>
            <w:r>
              <w:rPr>
                <w:rFonts w:hint="eastAsia" w:asciiTheme="minorEastAsia" w:hAnsiTheme="minorEastAsia" w:eastAsiaTheme="minorEastAsia"/>
                <w:bCs/>
                <w:szCs w:val="28"/>
              </w:rPr>
              <w:t xml:space="preserve">   </w:t>
            </w:r>
            <w:r>
              <w:rPr>
                <w:rFonts w:asciiTheme="minorEastAsia" w:hAnsiTheme="minorEastAsia" w:eastAsiaTheme="minorEastAsia"/>
                <w:bCs/>
                <w:szCs w:val="28"/>
              </w:rPr>
              <w:t>(</w:t>
            </w:r>
            <w:r>
              <w:rPr>
                <w:rFonts w:hint="eastAsia" w:asciiTheme="minorEastAsia" w:hAnsiTheme="minorEastAsia" w:eastAsiaTheme="minorEastAsia"/>
                <w:bCs/>
                <w:szCs w:val="28"/>
              </w:rPr>
              <w:t>9</w:t>
            </w:r>
            <w:r>
              <w:rPr>
                <w:rFonts w:asciiTheme="minorEastAsia" w:hAnsiTheme="minorEastAsia" w:eastAsiaTheme="minorEastAsia"/>
                <w:bCs/>
                <w:szCs w:val="28"/>
              </w:rPr>
              <w:t>日全天报到)</w:t>
            </w:r>
          </w:p>
          <w:p>
            <w:pPr>
              <w:pStyle w:val="2"/>
              <w:spacing w:line="440" w:lineRule="exact"/>
              <w:rPr>
                <w:rFonts w:asciiTheme="minorEastAsia" w:hAnsiTheme="minorEastAsia" w:eastAsiaTheme="minorEastAsia"/>
                <w:b w:val="0"/>
                <w:bCs/>
                <w:sz w:val="24"/>
                <w:szCs w:val="24"/>
              </w:rPr>
            </w:pPr>
            <w:r>
              <w:rPr>
                <w:rFonts w:hint="eastAsia" w:asciiTheme="minorEastAsia" w:hAnsiTheme="minorEastAsia" w:eastAsiaTheme="minorEastAsia"/>
                <w:bCs/>
                <w:szCs w:val="28"/>
              </w:rPr>
              <w:t xml:space="preserve">  </w:t>
            </w:r>
            <w:r>
              <w:rPr>
                <w:rFonts w:asciiTheme="minorEastAsia" w:hAnsiTheme="minorEastAsia" w:eastAsiaTheme="minorEastAsia"/>
                <w:bCs/>
                <w:szCs w:val="28"/>
              </w:rPr>
              <w:t>报到地点：</w:t>
            </w:r>
            <w:r>
              <w:rPr>
                <w:rFonts w:hint="eastAsia" w:asciiTheme="minorEastAsia" w:hAnsiTheme="minorEastAsia" w:eastAsiaTheme="minorEastAsia"/>
                <w:bCs/>
                <w:szCs w:val="28"/>
              </w:rPr>
              <w:t>长沙</w:t>
            </w:r>
            <w:r>
              <w:rPr>
                <w:rFonts w:asciiTheme="minorEastAsia" w:hAnsiTheme="minorEastAsia" w:eastAsiaTheme="minorEastAsia"/>
                <w:bCs/>
                <w:szCs w:val="28"/>
              </w:rPr>
              <w:t>市  (具体地点直接发给报名人员)</w:t>
            </w:r>
            <w:r>
              <w:rPr>
                <w:rFonts w:hint="eastAsia" w:asciiTheme="minorEastAsia" w:hAnsiTheme="minorEastAsia" w:eastAsiaTheme="minorEastAsia"/>
                <w:bCs/>
                <w:szCs w:val="28"/>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rPr>
                <w:rFonts w:ascii="仿宋_GB2312" w:hAnsi="宋体" w:eastAsia="仿宋_GB2312"/>
                <w:bCs/>
                <w:sz w:val="28"/>
              </w:rPr>
            </w:pPr>
            <w:r>
              <w:rPr>
                <w:rFonts w:hint="eastAsia" w:ascii="仿宋_GB2312" w:hAnsi="宋体" w:eastAsia="仿宋_GB2312"/>
                <w:bCs/>
                <w:sz w:val="28"/>
              </w:rPr>
              <w:t>联系人：</w:t>
            </w:r>
            <w:r>
              <w:rPr>
                <w:rFonts w:hint="eastAsia" w:ascii="仿宋_GB2312" w:hAnsi="宋体" w:eastAsia="仿宋_GB2312"/>
                <w:bCs/>
                <w:sz w:val="28"/>
                <w:lang w:eastAsia="zh-CN"/>
              </w:rPr>
              <w:t>马超</w:t>
            </w:r>
            <w:r>
              <w:rPr>
                <w:rFonts w:hint="eastAsia" w:ascii="仿宋_GB2312" w:hAnsi="宋体" w:eastAsia="仿宋_GB2312"/>
                <w:bCs/>
                <w:sz w:val="28"/>
              </w:rPr>
              <w:t xml:space="preserve">             </w:t>
            </w:r>
            <w:r>
              <w:rPr>
                <w:rFonts w:hint="eastAsia" w:ascii="仿宋_GB2312" w:hAnsi="宋体" w:eastAsia="仿宋_GB2312"/>
                <w:bCs/>
                <w:sz w:val="28"/>
                <w:lang w:val="en-US" w:eastAsia="zh-CN"/>
              </w:rPr>
              <w:t xml:space="preserve">     </w:t>
            </w:r>
            <w:r>
              <w:rPr>
                <w:rFonts w:hint="eastAsia" w:ascii="仿宋_GB2312" w:hAnsi="宋体" w:eastAsia="仿宋_GB2312"/>
                <w:bCs/>
                <w:sz w:val="28"/>
              </w:rPr>
              <w:t xml:space="preserve"> 电话：</w:t>
            </w:r>
            <w:r>
              <w:rPr>
                <w:rFonts w:hint="eastAsia" w:ascii="仿宋_GB2312" w:hAnsi="宋体" w:eastAsia="仿宋_GB2312"/>
                <w:bCs/>
                <w:sz w:val="28"/>
                <w:lang w:val="en-US" w:eastAsia="zh-CN"/>
              </w:rPr>
              <w:t>13240487419</w:t>
            </w:r>
          </w:p>
          <w:p>
            <w:pPr>
              <w:pStyle w:val="2"/>
              <w:tabs>
                <w:tab w:val="left" w:pos="1440"/>
              </w:tabs>
              <w:spacing w:line="470" w:lineRule="exact"/>
              <w:ind w:firstLine="0"/>
              <w:rPr>
                <w:rFonts w:hAnsi="宋体" w:cs="Times New Roman"/>
                <w:b w:val="0"/>
                <w:bCs/>
                <w:szCs w:val="28"/>
              </w:rPr>
            </w:pPr>
            <w:r>
              <w:rPr>
                <w:rFonts w:hAnsi="宋体" w:cs="Times New Roman"/>
                <w:b w:val="0"/>
                <w:bCs/>
              </w:rPr>
              <w:t>邮  箱：</w:t>
            </w:r>
            <w:r>
              <w:rPr>
                <w:rFonts w:hint="eastAsia" w:hAnsi="宋体" w:cs="Times New Roman"/>
                <w:b w:val="0"/>
                <w:bCs/>
                <w:lang w:val="en-US" w:eastAsia="zh-CN"/>
              </w:rPr>
              <w:t>1683101345@qq.com</w:t>
            </w:r>
            <w:r>
              <w:rPr>
                <w:rFonts w:hAnsi="宋体" w:cs="Times New Roman"/>
                <w:b w:val="0"/>
                <w:bCs/>
              </w:rPr>
              <w:t xml:space="preserve">  传真：010-5160</w:t>
            </w:r>
            <w:r>
              <w:rPr>
                <w:rFonts w:hint="eastAsia" w:hAnsi="宋体" w:cs="Times New Roman"/>
                <w:b w:val="0"/>
                <w:bCs/>
                <w:lang w:val="en-US" w:eastAsia="zh-CN"/>
              </w:rPr>
              <w:t>6934</w:t>
            </w:r>
            <w:r>
              <w:rPr>
                <w:rFonts w:hint="eastAsia" w:hAnsi="宋体" w:cs="Times New Roman"/>
                <w:b w:val="0"/>
                <w:bC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仿宋_GB2312" w:eastAsia="仿宋_GB2312"/>
                <w:b/>
                <w:bCs/>
                <w:w w:val="90"/>
                <w:sz w:val="30"/>
              </w:rPr>
            </w:pPr>
            <w:r>
              <w:rPr>
                <w:rFonts w:hint="eastAsia" w:ascii="仿宋_GB2312" w:eastAsia="仿宋_GB2312"/>
                <w:b/>
                <w:bCs/>
                <w:w w:val="90"/>
                <w:sz w:val="30"/>
              </w:rPr>
              <w:t>针对本次培训专题内容，结合实际工作中遇到哪些问题？以便我们反馈给老师并到会场交流探讨、答疑解惑。</w:t>
            </w:r>
          </w:p>
          <w:p>
            <w:pPr>
              <w:rPr>
                <w:rFonts w:ascii="仿宋_GB2312" w:hAnsi="宋体" w:eastAsia="仿宋_GB2312"/>
                <w:sz w:val="28"/>
                <w:u w:val="single"/>
              </w:rPr>
            </w:pPr>
            <w:r>
              <w:rPr>
                <w:rFonts w:hint="eastAsia" w:ascii="仿宋_GB2312" w:hAnsi="宋体" w:eastAsia="仿宋_GB2312"/>
                <w:sz w:val="28"/>
              </w:rPr>
              <w:t>问题1、</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仿宋_GB2312" w:hAnsi="宋体" w:eastAsia="仿宋_GB2312"/>
                <w:sz w:val="28"/>
              </w:rPr>
              <w:t>问题2、</w:t>
            </w:r>
            <w:r>
              <w:rPr>
                <w:rFonts w:hint="eastAsia" w:ascii="仿宋_GB2312" w:hAnsi="宋体" w:eastAsia="仿宋_GB2312"/>
                <w:sz w:val="28"/>
                <w:u w:val="single"/>
              </w:rPr>
              <w:t xml:space="preserve">                                           </w:t>
            </w:r>
          </w:p>
        </w:tc>
      </w:tr>
    </w:tbl>
    <w:p/>
    <w:p/>
    <w:sectPr>
      <w:headerReference r:id="rId3" w:type="default"/>
      <w:footerReference r:id="rId4" w:type="default"/>
      <w:footerReference r:id="rId5" w:type="even"/>
      <w:pgSz w:w="11907" w:h="16840"/>
      <w:pgMar w:top="1304" w:right="1134" w:bottom="1247" w:left="1134"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altName w:val="Tahoma"/>
    <w:panose1 w:val="020B0604030504040204"/>
    <w:charset w:val="00"/>
    <w:family w:val="swiss"/>
    <w:pitch w:val="default"/>
    <w:sig w:usb0="00000000" w:usb1="00000000" w:usb2="00000010" w:usb3="00000000" w:csb0="0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6"/>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- 4 -</w:t>
    </w:r>
    <w:r>
      <w:rPr>
        <w:sz w:val="21"/>
        <w:szCs w:val="2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6"/>
      </w:rPr>
    </w:pPr>
    <w:r>
      <w:fldChar w:fldCharType="begin"/>
    </w:r>
    <w:r>
      <w:rPr>
        <w:rStyle w:val="6"/>
      </w:rPr>
      <w:instrText xml:space="preserve">PAGE  </w:instrText>
    </w:r>
    <w:r>
      <w:fldChar w:fldCharType="separate"/>
    </w:r>
    <w:r>
      <w:rPr>
        <w:rStyle w:val="6"/>
      </w:rPr>
      <w:t>- 1 -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lang w:eastAsia="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160"/>
    <w:rsid w:val="001230DF"/>
    <w:rsid w:val="00143C4F"/>
    <w:rsid w:val="001C295E"/>
    <w:rsid w:val="0020614C"/>
    <w:rsid w:val="002A55A6"/>
    <w:rsid w:val="002D4F80"/>
    <w:rsid w:val="003D3034"/>
    <w:rsid w:val="003D7B17"/>
    <w:rsid w:val="00484B2D"/>
    <w:rsid w:val="005A4B5A"/>
    <w:rsid w:val="005C145F"/>
    <w:rsid w:val="00697530"/>
    <w:rsid w:val="006A03BA"/>
    <w:rsid w:val="006C57A6"/>
    <w:rsid w:val="006F60EF"/>
    <w:rsid w:val="007C23BD"/>
    <w:rsid w:val="00912BFE"/>
    <w:rsid w:val="009B3160"/>
    <w:rsid w:val="00AB767F"/>
    <w:rsid w:val="00B40EE1"/>
    <w:rsid w:val="00C10134"/>
    <w:rsid w:val="00C20BED"/>
    <w:rsid w:val="00D50B99"/>
    <w:rsid w:val="00D805A5"/>
    <w:rsid w:val="00D80858"/>
    <w:rsid w:val="00F01F85"/>
    <w:rsid w:val="00F20EF4"/>
    <w:rsid w:val="00F24C35"/>
    <w:rsid w:val="00F60DD8"/>
    <w:rsid w:val="00F705D2"/>
    <w:rsid w:val="00F93273"/>
    <w:rsid w:val="593B2B4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nhideWhenUsed/>
    <w:uiPriority w:val="0"/>
    <w:pPr>
      <w:widowControl/>
      <w:spacing w:line="560" w:lineRule="atLeast"/>
      <w:ind w:firstLine="555"/>
    </w:pPr>
    <w:rPr>
      <w:rFonts w:ascii="仿宋_GB2312" w:eastAsia="仿宋_GB2312" w:hAnsiTheme="minorHAnsi" w:cstheme="minorBidi"/>
      <w:b/>
      <w:sz w:val="28"/>
      <w:szCs w:val="22"/>
    </w:rPr>
  </w:style>
  <w:style w:type="paragraph" w:styleId="3">
    <w:name w:val="footer"/>
    <w:basedOn w:val="1"/>
    <w:link w:val="11"/>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nhideWhenUsed/>
    <w:uiPriority w:val="99"/>
  </w:style>
  <w:style w:type="character" w:customStyle="1" w:styleId="8">
    <w:name w:val="正文文本缩进 Char"/>
    <w:basedOn w:val="5"/>
    <w:link w:val="2"/>
    <w:uiPriority w:val="0"/>
    <w:rPr>
      <w:rFonts w:ascii="仿宋_GB2312" w:eastAsia="仿宋_GB2312"/>
      <w:b/>
      <w:sz w:val="28"/>
    </w:rPr>
  </w:style>
  <w:style w:type="character" w:customStyle="1" w:styleId="9">
    <w:name w:val="正文文本缩进 Char1"/>
    <w:basedOn w:val="5"/>
    <w:link w:val="2"/>
    <w:semiHidden/>
    <w:qFormat/>
    <w:uiPriority w:val="99"/>
    <w:rPr>
      <w:rFonts w:ascii="Times New Roman" w:hAnsi="Times New Roman" w:eastAsia="宋体" w:cs="Times New Roman"/>
      <w:szCs w:val="24"/>
    </w:rPr>
  </w:style>
  <w:style w:type="character" w:customStyle="1" w:styleId="10">
    <w:name w:val="页眉 Char"/>
    <w:basedOn w:val="5"/>
    <w:link w:val="4"/>
    <w:qFormat/>
    <w:uiPriority w:val="0"/>
    <w:rPr>
      <w:rFonts w:ascii="Times New Roman" w:hAnsi="Times New Roman" w:eastAsia="宋体" w:cs="Times New Roman"/>
      <w:sz w:val="18"/>
      <w:szCs w:val="24"/>
    </w:rPr>
  </w:style>
  <w:style w:type="character" w:customStyle="1" w:styleId="11">
    <w:name w:val="页脚 Char"/>
    <w:basedOn w:val="5"/>
    <w:link w:val="3"/>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530</Words>
  <Characters>3021</Characters>
  <Lines>25</Lines>
  <Paragraphs>7</Paragraphs>
  <TotalTime>0</TotalTime>
  <ScaleCrop>false</ScaleCrop>
  <LinksUpToDate>false</LinksUpToDate>
  <CharactersWithSpaces>3544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2016-10-17T06:31:00Z</dcterms:created>
  <dc:creator>微软用户</dc:creator>
  <cp:lastModifiedBy>Administrator</cp:lastModifiedBy>
  <dcterms:modified xsi:type="dcterms:W3CDTF">2016-10-21T07:36:25Z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